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7A" w:rsidRDefault="005F74D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ITCR Monthly Meeting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March 4, 2016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2:00 - 3:00pm ET</w:t>
      </w:r>
    </w:p>
    <w:p w:rsidR="00E9077A" w:rsidRDefault="00E9077A">
      <w:pPr>
        <w:pBdr>
          <w:top w:val="nil"/>
          <w:left w:val="nil"/>
          <w:bottom w:val="nil"/>
          <w:right w:val="nil"/>
          <w:between w:val="nil"/>
        </w:pBdr>
      </w:pP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hyperlink r:id="rId4">
        <w:r>
          <w:rPr>
            <w:color w:val="1155CC"/>
            <w:sz w:val="24"/>
            <w:szCs w:val="24"/>
            <w:u w:val="single"/>
          </w:rPr>
          <w:t>Join the WebEx Meeting</w:t>
        </w:r>
      </w:hyperlink>
    </w:p>
    <w:p w:rsidR="00E9077A" w:rsidRDefault="00E9077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"/>
        <w:tblW w:w="78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75"/>
      </w:tblGrid>
      <w:tr w:rsidR="00E9077A">
        <w:tc>
          <w:tcPr>
            <w:tcW w:w="7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Join by phone</w:t>
            </w:r>
          </w:p>
        </w:tc>
      </w:tr>
      <w:tr w:rsidR="00E9077A">
        <w:tc>
          <w:tcPr>
            <w:tcW w:w="7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color w:val="666666"/>
                <w:sz w:val="23"/>
                <w:szCs w:val="23"/>
              </w:rPr>
              <w:t>1-855-244-8681 Call-in toll-free number (US/Canada)</w:t>
            </w:r>
          </w:p>
        </w:tc>
      </w:tr>
      <w:tr w:rsidR="00E9077A">
        <w:tc>
          <w:tcPr>
            <w:tcW w:w="7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color w:val="666666"/>
                <w:sz w:val="23"/>
                <w:szCs w:val="23"/>
              </w:rPr>
              <w:t>1-650-479-3207 Call-in toll number (US/Canada)</w:t>
            </w:r>
          </w:p>
        </w:tc>
      </w:tr>
      <w:tr w:rsidR="00E9077A">
        <w:tc>
          <w:tcPr>
            <w:tcW w:w="7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color w:val="666666"/>
                <w:sz w:val="23"/>
                <w:szCs w:val="23"/>
              </w:rPr>
              <w:t>Access code: 738 170 557</w:t>
            </w:r>
          </w:p>
        </w:tc>
      </w:tr>
    </w:tbl>
    <w:p w:rsidR="00E9077A" w:rsidRDefault="00E9077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Reminder: Due to the large number of people on the call, it is important to put your phone on mute when not speaking. Please do </w:t>
      </w:r>
      <w:r>
        <w:rPr>
          <w:b/>
          <w:i/>
          <w:sz w:val="24"/>
          <w:szCs w:val="24"/>
          <w:u w:val="single"/>
        </w:rPr>
        <w:t xml:space="preserve">not put your phone on Hold as this may broadcast on-hold music to the group. 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i/>
          <w:sz w:val="24"/>
          <w:szCs w:val="24"/>
        </w:rPr>
        <w:t xml:space="preserve">To mute your phone within WebEx, hover over your name or phone number in the Participants list and click on the microphone icon on the far right. </w:t>
      </w:r>
    </w:p>
    <w:p w:rsidR="00E9077A" w:rsidRDefault="00E9077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E9077A" w:rsidRDefault="00E9077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920"/>
        <w:gridCol w:w="2610"/>
      </w:tblGrid>
      <w:tr w:rsidR="00E9077A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2:00 - 2:05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Announcements</w:t>
            </w:r>
          </w:p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CI4CC Workshop</w:t>
              </w:r>
            </w:hyperlink>
          </w:p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1111"/>
                <w:sz w:val="20"/>
                <w:szCs w:val="20"/>
                <w:highlight w:val="white"/>
              </w:rPr>
            </w:pPr>
            <w:r>
              <w:rPr>
                <w:color w:val="111111"/>
                <w:sz w:val="20"/>
                <w:szCs w:val="20"/>
                <w:highlight w:val="white"/>
              </w:rPr>
              <w:t>Sunday, March 13, 2016</w:t>
            </w:r>
          </w:p>
          <w:p w:rsidR="00E9077A" w:rsidRDefault="00E90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1111"/>
                <w:sz w:val="20"/>
                <w:szCs w:val="20"/>
                <w:highlight w:val="white"/>
              </w:rPr>
            </w:pPr>
          </w:p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ITCR session at AACR</w:t>
              </w:r>
            </w:hyperlink>
          </w:p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111111"/>
                <w:sz w:val="20"/>
                <w:szCs w:val="20"/>
                <w:highlight w:val="white"/>
              </w:rPr>
              <w:t>Tuesday, Apr 19, 2016, 4:15 PM - 5:45 PM</w:t>
            </w:r>
          </w:p>
          <w:p w:rsidR="00E9077A" w:rsidRDefault="00E90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077A" w:rsidRDefault="00E90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 Klemm</w:t>
            </w:r>
          </w:p>
        </w:tc>
      </w:tr>
      <w:tr w:rsidR="00E9077A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2:05 - 2:10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 at upcoming 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MICCAI</w:t>
              </w:r>
            </w:hyperlink>
            <w:r>
              <w:rPr>
                <w:sz w:val="24"/>
                <w:szCs w:val="24"/>
              </w:rPr>
              <w:t xml:space="preserve"> meeting featuring ITCR projects</w:t>
            </w:r>
          </w:p>
          <w:p w:rsidR="00E9077A" w:rsidRDefault="00E90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Also: Panel at SPIE - radio-patho-omics space (last week)</w:t>
            </w:r>
          </w:p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additional outreach to scientific societies, involving challenges with an emphasis o</w:t>
            </w:r>
            <w:r>
              <w:rPr>
                <w:sz w:val="24"/>
                <w:szCs w:val="24"/>
              </w:rPr>
              <w:t>n being scientifically meaningful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Anant Madabhushi</w:t>
            </w:r>
          </w:p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Joel Saltz</w:t>
            </w:r>
          </w:p>
        </w:tc>
      </w:tr>
      <w:tr w:rsidR="00E9077A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2:10 - 2:20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Containers and APIs WG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Jayashree Kalpathy-Cramer</w:t>
            </w:r>
          </w:p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Tahsin Kurc</w:t>
            </w:r>
          </w:p>
        </w:tc>
      </w:tr>
      <w:tr w:rsidR="00E9077A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2:20 - 2:30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ITCR F2F Planning</w:t>
            </w:r>
          </w:p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Demos - yes. </w:t>
            </w:r>
          </w:p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Minimize parallel sessions</w:t>
            </w:r>
          </w:p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Information about technology stacks (maybe on Hub or website)</w:t>
            </w:r>
          </w:p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Whitepaper about integration</w:t>
            </w:r>
          </w:p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sessions around the WGs?</w:t>
            </w:r>
          </w:p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Commercialization</w:t>
            </w:r>
          </w:p>
          <w:p w:rsidR="00E9077A" w:rsidRDefault="00E90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Aviv Regev</w:t>
            </w:r>
          </w:p>
        </w:tc>
      </w:tr>
      <w:tr w:rsidR="00E9077A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2:30-2:45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Collaborative opportunities with the Innovative Molecular Analysis Technologies (IMAT) program</w:t>
            </w:r>
          </w:p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http://imat.cancer.gov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will be attending the ITCR F2F to continue this discussion, possibly along with local PIs</w:t>
            </w:r>
          </w:p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meetings between these programs may be of interest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Dickherber</w:t>
            </w:r>
          </w:p>
        </w:tc>
      </w:tr>
      <w:tr w:rsidR="00E9077A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2:45 - 2:55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7A" w:rsidRDefault="00E90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E9077A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7A" w:rsidRDefault="005F7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77A" w:rsidRDefault="00E90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9077A" w:rsidRDefault="00E9077A">
      <w:pPr>
        <w:pBdr>
          <w:top w:val="nil"/>
          <w:left w:val="nil"/>
          <w:bottom w:val="nil"/>
          <w:right w:val="nil"/>
          <w:between w:val="nil"/>
        </w:pBdr>
      </w:pP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 xml:space="preserve">Meeting agendas/notes now available in a </w:t>
      </w:r>
      <w:hyperlink r:id="rId9">
        <w:r>
          <w:rPr>
            <w:color w:val="1155CC"/>
            <w:u w:val="single"/>
          </w:rPr>
          <w:t>GoogleFolder</w:t>
        </w:r>
      </w:hyperlink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 xml:space="preserve">Meeting materials available on the </w:t>
      </w:r>
      <w:hyperlink r:id="rId10">
        <w:r>
          <w:rPr>
            <w:color w:val="1155CC"/>
            <w:u w:val="single"/>
          </w:rPr>
          <w:t>NCIP Hub</w:t>
        </w:r>
      </w:hyperlink>
      <w:r>
        <w:t xml:space="preserve">. 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 xml:space="preserve">Website: </w:t>
      </w:r>
      <w:hyperlink r:id="rId11">
        <w:r>
          <w:rPr>
            <w:color w:val="1155CC"/>
            <w:u w:val="single"/>
          </w:rPr>
          <w:t>http://itcr.nci.nih.gov</w:t>
        </w:r>
      </w:hyperlink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Hashtag: #nciitcr</w:t>
      </w:r>
    </w:p>
    <w:p w:rsidR="00E9077A" w:rsidRDefault="00E9077A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E9077A" w:rsidRDefault="00E9077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enter your name and instituti</w:t>
      </w:r>
      <w:r>
        <w:rPr>
          <w:b/>
          <w:sz w:val="24"/>
          <w:szCs w:val="24"/>
          <w:u w:val="single"/>
        </w:rPr>
        <w:t>on below:</w:t>
      </w:r>
    </w:p>
    <w:p w:rsidR="00E9077A" w:rsidRDefault="00E9077A">
      <w:pPr>
        <w:pBdr>
          <w:top w:val="nil"/>
          <w:left w:val="nil"/>
          <w:bottom w:val="nil"/>
          <w:right w:val="nil"/>
          <w:between w:val="nil"/>
        </w:pBdr>
      </w:pP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Juli Klemm, NCI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Jingshan Huang, South Alabama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Trinity Urban, MGH (attending for Gordon Harris)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Lauren O’Donnell, BWH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Hiro Yoshida, MGH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Alex Krasnitz (CSHL)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Guergana Savova (BCH/HMS)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Thomas Doak, Indiana U.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Bradley Broom (MD Anderson)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Rachel Karchin (JHU)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Jing Zhu (UC Santa Cruz)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Despina Kontos (UPenn)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Steve Friedman, NCI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Jerry Li, NCI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Guoqian Jiang (Mayo Clinic)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David Miller (NCI)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Mike Ryan (JHU / MD Anderson)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Martin Morgan (RPCI)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Rao Divi, NCI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Joel Saltz St</w:t>
      </w:r>
      <w:r>
        <w:t>ony Brook U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Tahsin Kurc, Stony Brook U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Miguel Ossandon NCI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Bobbie-Jo Webb-Robertson (PNNL)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Jill Mesirov (UCSD)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Christos Patriotis (NCI)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Anant Madabhushi (Case Western)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Timothy Tickle (Broad)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Brian Haas (Broad)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Lee Cooper (Emory)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David Gutman (Emory)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Maureen Sartor (Michigan)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Andrey Fedorov (Brigham and Women’s Hospital / Harvard Medical School)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Ishwar Chandramouli (NCI)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Dexter Pratt (UCSD)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Yantian Zhang, NCI</w:t>
      </w:r>
    </w:p>
    <w:p w:rsidR="00E9077A" w:rsidRDefault="005F74D6">
      <w:pPr>
        <w:pBdr>
          <w:top w:val="nil"/>
          <w:left w:val="nil"/>
          <w:bottom w:val="nil"/>
          <w:right w:val="nil"/>
          <w:between w:val="nil"/>
        </w:pBdr>
      </w:pPr>
      <w:r>
        <w:t>Mervi Heiskanen, NCI</w:t>
      </w:r>
    </w:p>
    <w:p w:rsidR="00E9077A" w:rsidRDefault="00E9077A">
      <w:pPr>
        <w:pBdr>
          <w:top w:val="nil"/>
          <w:left w:val="nil"/>
          <w:bottom w:val="nil"/>
          <w:right w:val="nil"/>
          <w:between w:val="nil"/>
        </w:pBdr>
      </w:pPr>
    </w:p>
    <w:sectPr w:rsidR="00E9077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7A"/>
    <w:rsid w:val="005F74D6"/>
    <w:rsid w:val="00E9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84A52D-298F-D141-878F-B73D4F16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t.cancer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ccai2016.org/e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stractsonline.com/Plan/ViewSession.aspx?sKey=6b01b9f9-9bee-40b8-866a-d0e6a35105db&amp;mKey=1d10d749-4b6a-4ab3-bcd4-f80fb1922267" TargetMode="External"/><Relationship Id="rId11" Type="http://schemas.openxmlformats.org/officeDocument/2006/relationships/hyperlink" Target="http://itcr.nci.nih.gov" TargetMode="External"/><Relationship Id="rId5" Type="http://schemas.openxmlformats.org/officeDocument/2006/relationships/hyperlink" Target="http://www.ci4cc.org/events/sm_files/CI4CC%20Spring%202016%20Agenda%20v2.0.pdf" TargetMode="External"/><Relationship Id="rId10" Type="http://schemas.openxmlformats.org/officeDocument/2006/relationships/hyperlink" Target="https://nciphub.org/groups/itcr/monthly_pi_teleconferences" TargetMode="External"/><Relationship Id="rId4" Type="http://schemas.openxmlformats.org/officeDocument/2006/relationships/hyperlink" Target="https://cbiit.webex.com/cbiit/j.php?MTID=m792e8a3829c3ac67ea17f080bd5247c5" TargetMode="External"/><Relationship Id="rId9" Type="http://schemas.openxmlformats.org/officeDocument/2006/relationships/hyperlink" Target="https://goo.gl/aSoq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Heiskanen, Mervi (NIH/NCI) [E]</cp:lastModifiedBy>
  <cp:revision>2</cp:revision>
  <dcterms:created xsi:type="dcterms:W3CDTF">2019-01-10T18:26:00Z</dcterms:created>
  <dcterms:modified xsi:type="dcterms:W3CDTF">2019-01-10T18:26:00Z</dcterms:modified>
</cp:coreProperties>
</file>