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16F" w:rsidRPr="00E4316F" w:rsidRDefault="00E4316F" w:rsidP="00E4316F">
      <w:pPr>
        <w:spacing w:before="200"/>
        <w:rPr>
          <w:rFonts w:ascii="-webkit-standard" w:eastAsia="Times New Roman" w:hAnsi="-webkit-standard" w:cs="Times New Roman"/>
          <w:color w:val="000000"/>
        </w:rPr>
      </w:pPr>
      <w:r w:rsidRPr="00E4316F">
        <w:rPr>
          <w:rFonts w:ascii="Arial" w:eastAsia="Times New Roman" w:hAnsi="Arial" w:cs="Arial"/>
          <w:color w:val="000000"/>
          <w:sz w:val="36"/>
          <w:szCs w:val="36"/>
        </w:rPr>
        <w:t>ITCR Training and Outreach Working Group</w:t>
      </w:r>
    </w:p>
    <w:p w:rsidR="00E4316F" w:rsidRPr="00E4316F" w:rsidRDefault="00E4316F" w:rsidP="00E4316F">
      <w:pPr>
        <w:spacing w:after="200"/>
        <w:rPr>
          <w:rFonts w:ascii="-webkit-standard" w:eastAsia="Times New Roman" w:hAnsi="-webkit-standard" w:cs="Times New Roman"/>
          <w:color w:val="000000"/>
        </w:rPr>
      </w:pPr>
      <w:r w:rsidRPr="00E4316F">
        <w:rPr>
          <w:rFonts w:ascii="Arial" w:eastAsia="Times New Roman" w:hAnsi="Arial" w:cs="Arial"/>
          <w:i/>
          <w:iCs/>
          <w:color w:val="666666"/>
          <w:sz w:val="26"/>
          <w:szCs w:val="26"/>
        </w:rPr>
        <w:t>Thursday, June 9, 2016 Meeting Notes</w:t>
      </w:r>
    </w:p>
    <w:p w:rsidR="00E4316F" w:rsidRPr="00E4316F" w:rsidRDefault="00E4316F" w:rsidP="00E4316F">
      <w:pPr>
        <w:outlineLvl w:val="0"/>
        <w:rPr>
          <w:rFonts w:ascii="-webkit-standard" w:eastAsia="Times New Roman" w:hAnsi="-webkit-standard" w:cs="Times New Roman"/>
          <w:b/>
          <w:bCs/>
          <w:color w:val="000000"/>
          <w:kern w:val="36"/>
          <w:sz w:val="48"/>
          <w:szCs w:val="48"/>
        </w:rPr>
      </w:pPr>
      <w:r w:rsidRPr="00E4316F">
        <w:rPr>
          <w:rFonts w:ascii="Arial" w:eastAsia="Times New Roman" w:hAnsi="Arial" w:cs="Arial"/>
          <w:color w:val="000000"/>
          <w:kern w:val="36"/>
          <w:sz w:val="32"/>
          <w:szCs w:val="32"/>
        </w:rPr>
        <w:t>Logistics</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Dial in: 855-259-6342</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Conference Code: 40152#</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Security PIN: 256871#</w:t>
      </w:r>
    </w:p>
    <w:p w:rsidR="00E4316F" w:rsidRPr="00E4316F" w:rsidRDefault="00E4316F" w:rsidP="00E4316F">
      <w:pPr>
        <w:rPr>
          <w:rFonts w:ascii="-webkit-standard" w:eastAsia="Times New Roman" w:hAnsi="-webkit-standard" w:cs="Times New Roman"/>
          <w:color w:val="000000"/>
        </w:rPr>
      </w:pPr>
      <w:r w:rsidRPr="00E4316F">
        <w:rPr>
          <w:rFonts w:ascii="Arial" w:eastAsia="Times New Roman" w:hAnsi="Arial" w:cs="Arial"/>
          <w:color w:val="000000"/>
          <w:sz w:val="22"/>
          <w:szCs w:val="22"/>
        </w:rPr>
        <w:t>Google Doc for the Meeting:</w:t>
      </w:r>
      <w:r w:rsidRPr="00E4316F">
        <w:rPr>
          <w:rFonts w:ascii="Trebuchet MS" w:eastAsia="Times New Roman" w:hAnsi="Trebuchet MS" w:cs="Times New Roman"/>
          <w:b/>
          <w:bCs/>
          <w:color w:val="000000"/>
        </w:rPr>
        <w:t xml:space="preserve"> </w:t>
      </w:r>
      <w:hyperlink r:id="rId5" w:history="1">
        <w:r w:rsidRPr="00E4316F">
          <w:rPr>
            <w:rFonts w:ascii="Arial" w:eastAsia="Times New Roman" w:hAnsi="Arial" w:cs="Arial"/>
            <w:color w:val="1155CC"/>
            <w:u w:val="single"/>
            <w:shd w:val="clear" w:color="auto" w:fill="FFFFFF"/>
          </w:rPr>
          <w:t>https://goo.gl/QBNZw0</w:t>
        </w:r>
      </w:hyperlink>
      <w:r w:rsidRPr="00E4316F">
        <w:rPr>
          <w:rFonts w:ascii="Arial" w:eastAsia="Times New Roman" w:hAnsi="Arial" w:cs="Arial"/>
          <w:color w:val="1F497D"/>
          <w:shd w:val="clear" w:color="auto" w:fill="FFFFFF"/>
        </w:rPr>
        <w:t xml:space="preserve">  </w:t>
      </w:r>
    </w:p>
    <w:p w:rsidR="00E4316F" w:rsidRPr="00E4316F" w:rsidRDefault="00E4316F" w:rsidP="00E4316F">
      <w:pPr>
        <w:rPr>
          <w:rFonts w:ascii="-webkit-standard" w:eastAsia="Times New Roman" w:hAnsi="-webkit-standard" w:cs="Times New Roman"/>
          <w:color w:val="000000"/>
        </w:rPr>
      </w:pPr>
    </w:p>
    <w:p w:rsidR="00E4316F" w:rsidRPr="00E4316F" w:rsidRDefault="00E4316F" w:rsidP="00E4316F">
      <w:pPr>
        <w:outlineLvl w:val="0"/>
        <w:rPr>
          <w:rFonts w:ascii="-webkit-standard" w:eastAsia="Times New Roman" w:hAnsi="-webkit-standard" w:cs="Times New Roman"/>
          <w:b/>
          <w:bCs/>
          <w:color w:val="000000"/>
          <w:kern w:val="36"/>
          <w:sz w:val="48"/>
          <w:szCs w:val="48"/>
        </w:rPr>
      </w:pPr>
      <w:r w:rsidRPr="00E4316F">
        <w:rPr>
          <w:rFonts w:ascii="Arial" w:eastAsia="Times New Roman" w:hAnsi="Arial" w:cs="Arial"/>
          <w:color w:val="000000"/>
          <w:kern w:val="36"/>
          <w:sz w:val="32"/>
          <w:szCs w:val="32"/>
        </w:rPr>
        <w:t xml:space="preserve">Roll call &lt;&lt; </w:t>
      </w:r>
      <w:r w:rsidRPr="00E4316F">
        <w:rPr>
          <w:rFonts w:ascii="Arial" w:eastAsia="Times New Roman" w:hAnsi="Arial" w:cs="Arial"/>
          <w:b/>
          <w:bCs/>
          <w:color w:val="FF0000"/>
          <w:kern w:val="36"/>
          <w:sz w:val="32"/>
          <w:szCs w:val="32"/>
        </w:rPr>
        <w:t>Attendees: Please sign in!!</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Mervi Heiskanen, NCI</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Timothy Tickle, Broad</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Michael Reich, UCSD</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Mary Goldman, UC Santa Cruz</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Andrey Fedorov, BWH/HMS</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Martin Morgan, RPCI</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Juli Klemm, NCI</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Yantian Zhang, NCI</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Trinity Urban, MGH</w:t>
      </w:r>
    </w:p>
    <w:p w:rsidR="00E4316F" w:rsidRPr="00E4316F" w:rsidRDefault="00E4316F" w:rsidP="00E4316F">
      <w:pPr>
        <w:spacing w:before="200"/>
        <w:jc w:val="both"/>
        <w:outlineLvl w:val="0"/>
        <w:rPr>
          <w:rFonts w:ascii="-webkit-standard" w:eastAsia="Times New Roman" w:hAnsi="-webkit-standard" w:cs="Times New Roman"/>
          <w:b/>
          <w:bCs/>
          <w:color w:val="000000"/>
          <w:kern w:val="36"/>
          <w:sz w:val="48"/>
          <w:szCs w:val="48"/>
        </w:rPr>
      </w:pPr>
      <w:r w:rsidRPr="00E4316F">
        <w:rPr>
          <w:rFonts w:ascii="Arial" w:eastAsia="Times New Roman" w:hAnsi="Arial" w:cs="Arial"/>
          <w:color w:val="000000"/>
          <w:kern w:val="36"/>
          <w:sz w:val="32"/>
          <w:szCs w:val="32"/>
        </w:rPr>
        <w:t>Agenda/Minutes</w:t>
      </w:r>
    </w:p>
    <w:p w:rsidR="00E4316F" w:rsidRPr="00E4316F" w:rsidRDefault="00E4316F" w:rsidP="00E4316F">
      <w:pPr>
        <w:numPr>
          <w:ilvl w:val="0"/>
          <w:numId w:val="1"/>
        </w:numPr>
        <w:spacing w:before="200"/>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 xml:space="preserve">Outreach activities update </w:t>
      </w:r>
    </w:p>
    <w:p w:rsidR="00E4316F" w:rsidRPr="00E4316F" w:rsidRDefault="00E4316F" w:rsidP="00E4316F">
      <w:pPr>
        <w:numPr>
          <w:ilvl w:val="1"/>
          <w:numId w:val="2"/>
        </w:numPr>
        <w:ind w:left="1440" w:hanging="360"/>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Brian Haas / Trinity - training in Italy</w:t>
      </w:r>
    </w:p>
    <w:p w:rsidR="00E4316F" w:rsidRPr="00E4316F" w:rsidRDefault="00E4316F" w:rsidP="00E4316F">
      <w:pPr>
        <w:numPr>
          <w:ilvl w:val="1"/>
          <w:numId w:val="2"/>
        </w:numPr>
        <w:ind w:left="1440" w:hanging="360"/>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Martin Morgan - workshop in China as part of a conference of about 3000 participants, ~150 at the Bioconductor workshop</w:t>
      </w:r>
    </w:p>
    <w:p w:rsidR="00E4316F" w:rsidRPr="00E4316F" w:rsidRDefault="00E4316F" w:rsidP="00E4316F">
      <w:pPr>
        <w:numPr>
          <w:ilvl w:val="1"/>
          <w:numId w:val="2"/>
        </w:numPr>
        <w:ind w:left="1440" w:hanging="360"/>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 xml:space="preserve">Let’s set up a wiki page! NCI will go back through the notes and retrospectively add these to the page. Criteria for an “ITCR activity” - an activity where you would cite the grant. </w:t>
      </w:r>
    </w:p>
    <w:p w:rsidR="00E4316F" w:rsidRPr="00E4316F" w:rsidRDefault="00E4316F" w:rsidP="00E4316F">
      <w:pPr>
        <w:numPr>
          <w:ilvl w:val="0"/>
          <w:numId w:val="2"/>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 xml:space="preserve">Follow-up on the last month’s call </w:t>
      </w:r>
    </w:p>
    <w:p w:rsidR="00E4316F" w:rsidRPr="00E4316F" w:rsidRDefault="00E4316F" w:rsidP="00E4316F">
      <w:pPr>
        <w:numPr>
          <w:ilvl w:val="1"/>
          <w:numId w:val="3"/>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 xml:space="preserve">Project summary slides: </w:t>
      </w:r>
      <w:hyperlink r:id="rId6" w:history="1">
        <w:r w:rsidRPr="00E4316F">
          <w:rPr>
            <w:rFonts w:ascii="Arial" w:eastAsia="Times New Roman" w:hAnsi="Arial" w:cs="Arial"/>
            <w:color w:val="1155CC"/>
            <w:sz w:val="22"/>
            <w:szCs w:val="22"/>
            <w:u w:val="single"/>
          </w:rPr>
          <w:t>https://goo.gl/MP1D7c</w:t>
        </w:r>
      </w:hyperlink>
      <w:r w:rsidRPr="00E4316F">
        <w:rPr>
          <w:rFonts w:ascii="Arial" w:eastAsia="Times New Roman" w:hAnsi="Arial" w:cs="Arial"/>
          <w:color w:val="000000"/>
          <w:sz w:val="22"/>
          <w:szCs w:val="22"/>
        </w:rPr>
        <w:t xml:space="preserve"> </w:t>
      </w:r>
    </w:p>
    <w:p w:rsidR="00E4316F" w:rsidRPr="00E4316F" w:rsidRDefault="00E4316F" w:rsidP="00E4316F">
      <w:pPr>
        <w:numPr>
          <w:ilvl w:val="2"/>
          <w:numId w:val="4"/>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Goal: to make these slides available via ITCR web site to support outreach activities.</w:t>
      </w:r>
    </w:p>
    <w:p w:rsidR="00E4316F" w:rsidRPr="00E4316F" w:rsidRDefault="00E4316F" w:rsidP="00E4316F">
      <w:pPr>
        <w:numPr>
          <w:ilvl w:val="1"/>
          <w:numId w:val="4"/>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 xml:space="preserve">List of conferences: </w:t>
      </w:r>
      <w:hyperlink r:id="rId7" w:history="1">
        <w:r w:rsidRPr="00E4316F">
          <w:rPr>
            <w:rFonts w:ascii="Arial" w:eastAsia="Times New Roman" w:hAnsi="Arial" w:cs="Arial"/>
            <w:color w:val="1155CC"/>
            <w:sz w:val="22"/>
            <w:szCs w:val="22"/>
            <w:u w:val="single"/>
          </w:rPr>
          <w:t>https://goo.gl/agjv51</w:t>
        </w:r>
      </w:hyperlink>
      <w:r w:rsidRPr="00E4316F">
        <w:rPr>
          <w:rFonts w:ascii="Arial" w:eastAsia="Times New Roman" w:hAnsi="Arial" w:cs="Arial"/>
          <w:color w:val="000000"/>
          <w:sz w:val="22"/>
          <w:szCs w:val="22"/>
        </w:rPr>
        <w:t xml:space="preserve"> </w:t>
      </w:r>
    </w:p>
    <w:p w:rsidR="00E4316F" w:rsidRPr="00E4316F" w:rsidRDefault="00E4316F" w:rsidP="00E4316F">
      <w:pPr>
        <w:numPr>
          <w:ilvl w:val="2"/>
          <w:numId w:val="5"/>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Juli to follow up with CI4CC re planning</w:t>
      </w:r>
    </w:p>
    <w:p w:rsidR="00E4316F" w:rsidRPr="00E4316F" w:rsidRDefault="00E4316F" w:rsidP="00E4316F">
      <w:pPr>
        <w:numPr>
          <w:ilvl w:val="1"/>
          <w:numId w:val="5"/>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Mervi to bring some ITCR handouts to the F2F</w:t>
      </w:r>
    </w:p>
    <w:p w:rsidR="00E4316F" w:rsidRPr="00E4316F" w:rsidRDefault="00E4316F" w:rsidP="00E4316F">
      <w:pPr>
        <w:numPr>
          <w:ilvl w:val="0"/>
          <w:numId w:val="5"/>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ITCR Special issue</w:t>
      </w:r>
    </w:p>
    <w:p w:rsidR="00E4316F" w:rsidRPr="00E4316F" w:rsidRDefault="00E4316F" w:rsidP="00E4316F">
      <w:pPr>
        <w:numPr>
          <w:ilvl w:val="1"/>
          <w:numId w:val="6"/>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Juli will share the summary below with John, then will share with the journal, once there is some feedback from the journal will proceed with further communication to the ITCR investigators</w:t>
      </w:r>
    </w:p>
    <w:p w:rsidR="00E4316F" w:rsidRPr="00E4316F" w:rsidRDefault="00E4316F" w:rsidP="00E4316F">
      <w:pPr>
        <w:numPr>
          <w:ilvl w:val="1"/>
          <w:numId w:val="6"/>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 xml:space="preserve">Consider the relative size of projects like the GDC vs. individual grants. Category about data perhaps? </w:t>
      </w:r>
    </w:p>
    <w:p w:rsidR="00E4316F" w:rsidRPr="00E4316F" w:rsidRDefault="00E4316F" w:rsidP="00E4316F">
      <w:pPr>
        <w:numPr>
          <w:ilvl w:val="1"/>
          <w:numId w:val="6"/>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Opportunity to describe the whole ecosystem of NCI informatics</w:t>
      </w:r>
    </w:p>
    <w:p w:rsidR="00E4316F" w:rsidRPr="00E4316F" w:rsidRDefault="00E4316F" w:rsidP="00E4316F">
      <w:pPr>
        <w:numPr>
          <w:ilvl w:val="0"/>
          <w:numId w:val="6"/>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ITCR F2F preparation: topic(s) for discussion at the TOW breakout</w:t>
      </w:r>
    </w:p>
    <w:p w:rsidR="00E4316F" w:rsidRPr="00E4316F" w:rsidRDefault="00E4316F" w:rsidP="00E4316F">
      <w:pPr>
        <w:numPr>
          <w:ilvl w:val="1"/>
          <w:numId w:val="7"/>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TOW breakout will take place on Monday, June 13, during the lunch break; we have about 1 hr</w:t>
      </w:r>
    </w:p>
    <w:p w:rsidR="00E4316F" w:rsidRPr="00E4316F" w:rsidRDefault="00E4316F" w:rsidP="00E4316F">
      <w:pPr>
        <w:numPr>
          <w:ilvl w:val="1"/>
          <w:numId w:val="7"/>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Discuss overall goals, activities (past and present) of the WG, and the resources (videos, slides, events pages) provided by the WG</w:t>
      </w:r>
    </w:p>
    <w:p w:rsidR="00E4316F" w:rsidRPr="00E4316F" w:rsidRDefault="00E4316F" w:rsidP="00E4316F">
      <w:pPr>
        <w:numPr>
          <w:ilvl w:val="1"/>
          <w:numId w:val="7"/>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Focused discussion of the special issue proposal</w:t>
      </w:r>
    </w:p>
    <w:p w:rsidR="00E4316F" w:rsidRPr="00E4316F" w:rsidRDefault="00E4316F" w:rsidP="00E4316F">
      <w:pPr>
        <w:numPr>
          <w:ilvl w:val="1"/>
          <w:numId w:val="7"/>
        </w:numPr>
        <w:jc w:val="both"/>
        <w:textAlignment w:val="baseline"/>
        <w:rPr>
          <w:rFonts w:ascii="Arial" w:eastAsia="Times New Roman" w:hAnsi="Arial" w:cs="Arial"/>
          <w:color w:val="000000"/>
          <w:sz w:val="22"/>
          <w:szCs w:val="22"/>
        </w:rPr>
      </w:pPr>
      <w:hyperlink r:id="rId8" w:anchor="gid=0" w:history="1">
        <w:r w:rsidRPr="00E4316F">
          <w:rPr>
            <w:rFonts w:ascii="Arial" w:eastAsia="Times New Roman" w:hAnsi="Arial" w:cs="Arial"/>
            <w:color w:val="1155CC"/>
            <w:sz w:val="22"/>
            <w:szCs w:val="22"/>
            <w:u w:val="single"/>
          </w:rPr>
          <w:t>Meeting agenda</w:t>
        </w:r>
      </w:hyperlink>
      <w:r w:rsidRPr="00E4316F">
        <w:rPr>
          <w:rFonts w:ascii="Arial" w:eastAsia="Times New Roman" w:hAnsi="Arial" w:cs="Arial"/>
          <w:color w:val="000000"/>
          <w:sz w:val="22"/>
          <w:szCs w:val="22"/>
        </w:rPr>
        <w:t xml:space="preserve"> for reference</w:t>
      </w:r>
    </w:p>
    <w:p w:rsidR="00E4316F" w:rsidRPr="00E4316F" w:rsidRDefault="00E4316F" w:rsidP="00E4316F">
      <w:pPr>
        <w:numPr>
          <w:ilvl w:val="0"/>
          <w:numId w:val="7"/>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Mailing list (re-)organization</w:t>
      </w:r>
    </w:p>
    <w:p w:rsidR="00E4316F" w:rsidRPr="00E4316F" w:rsidRDefault="00E4316F" w:rsidP="00E4316F">
      <w:pPr>
        <w:spacing w:before="200"/>
        <w:jc w:val="both"/>
        <w:outlineLvl w:val="0"/>
        <w:rPr>
          <w:rFonts w:ascii="-webkit-standard" w:eastAsia="Times New Roman" w:hAnsi="-webkit-standard" w:cs="Times New Roman"/>
          <w:b/>
          <w:bCs/>
          <w:color w:val="000000"/>
          <w:kern w:val="36"/>
          <w:sz w:val="48"/>
          <w:szCs w:val="48"/>
        </w:rPr>
      </w:pPr>
      <w:r w:rsidRPr="00E4316F">
        <w:rPr>
          <w:rFonts w:ascii="Arial" w:eastAsia="Times New Roman" w:hAnsi="Arial" w:cs="Arial"/>
          <w:color w:val="000000"/>
          <w:kern w:val="36"/>
          <w:sz w:val="32"/>
          <w:szCs w:val="32"/>
        </w:rPr>
        <w:t>ITCR mailing list maintenance</w:t>
      </w: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ITCR Mailing Lists: Mervi will post on the NCIP Hub. Public or Private?</w:t>
      </w:r>
    </w:p>
    <w:p w:rsidR="00E4316F" w:rsidRPr="00E4316F" w:rsidRDefault="00E4316F" w:rsidP="00E4316F">
      <w:pPr>
        <w:rPr>
          <w:rFonts w:ascii="-webkit-standard" w:eastAsia="Times New Roman" w:hAnsi="-webkit-standard" w:cs="Times New Roman"/>
          <w:color w:val="000000"/>
        </w:rPr>
      </w:pPr>
    </w:p>
    <w:p w:rsidR="00E4316F" w:rsidRPr="00E4316F" w:rsidRDefault="00E4316F" w:rsidP="00E4316F">
      <w:pPr>
        <w:numPr>
          <w:ilvl w:val="0"/>
          <w:numId w:val="8"/>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ITCR_PARTICIPANTS@LIST.NIH.GOV :A listserv for those participating in the ITCR program</w:t>
      </w:r>
    </w:p>
    <w:p w:rsidR="00E4316F" w:rsidRPr="00E4316F" w:rsidRDefault="00E4316F" w:rsidP="00E4316F">
      <w:pPr>
        <w:numPr>
          <w:ilvl w:val="0"/>
          <w:numId w:val="8"/>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ITCR-TECH-WG@LIST.NIH.GOV : For communications among the members of the ITCR technical working groups.</w:t>
      </w:r>
    </w:p>
    <w:p w:rsidR="00E4316F" w:rsidRPr="00E4316F" w:rsidRDefault="00E4316F" w:rsidP="00E4316F">
      <w:pPr>
        <w:numPr>
          <w:ilvl w:val="0"/>
          <w:numId w:val="8"/>
        </w:numPr>
        <w:jc w:val="both"/>
        <w:textAlignment w:val="baseline"/>
        <w:rPr>
          <w:rFonts w:ascii="Arial" w:eastAsia="Times New Roman" w:hAnsi="Arial" w:cs="Arial"/>
          <w:color w:val="000000"/>
          <w:sz w:val="22"/>
          <w:szCs w:val="22"/>
        </w:rPr>
      </w:pPr>
      <w:r w:rsidRPr="00E4316F">
        <w:rPr>
          <w:rFonts w:ascii="Arial" w:eastAsia="Times New Roman" w:hAnsi="Arial" w:cs="Arial"/>
          <w:color w:val="000000"/>
          <w:sz w:val="22"/>
          <w:szCs w:val="22"/>
        </w:rPr>
        <w:t>ITCR_TOW@LIST.NIH.GOV: Supports communications between ITCR program Training and Outreach Working Group  TOW participants.</w:t>
      </w:r>
    </w:p>
    <w:p w:rsidR="00E4316F" w:rsidRPr="00E4316F" w:rsidRDefault="00E4316F" w:rsidP="00E4316F">
      <w:pPr>
        <w:rPr>
          <w:rFonts w:ascii="-webkit-standard" w:eastAsia="Times New Roman" w:hAnsi="-webkit-standard" w:cs="Times New Roman"/>
          <w:color w:val="000000"/>
        </w:rPr>
      </w:pPr>
    </w:p>
    <w:p w:rsidR="00E4316F" w:rsidRPr="00E4316F" w:rsidRDefault="00E4316F" w:rsidP="00E4316F">
      <w:pPr>
        <w:jc w:val="both"/>
        <w:rPr>
          <w:rFonts w:ascii="-webkit-standard" w:eastAsia="Times New Roman" w:hAnsi="-webkit-standard" w:cs="Times New Roman"/>
          <w:color w:val="000000"/>
        </w:rPr>
      </w:pPr>
      <w:r w:rsidRPr="00E4316F">
        <w:rPr>
          <w:rFonts w:ascii="Arial" w:eastAsia="Times New Roman" w:hAnsi="Arial" w:cs="Arial"/>
          <w:color w:val="000000"/>
          <w:sz w:val="22"/>
          <w:szCs w:val="22"/>
        </w:rPr>
        <w:t xml:space="preserve">NIH LISTSERV </w:t>
      </w:r>
      <w:hyperlink r:id="rId9" w:history="1">
        <w:r w:rsidRPr="00E4316F">
          <w:rPr>
            <w:rFonts w:ascii="Arial" w:eastAsia="Times New Roman" w:hAnsi="Arial" w:cs="Arial"/>
            <w:color w:val="1155CC"/>
            <w:sz w:val="22"/>
            <w:szCs w:val="22"/>
            <w:u w:val="single"/>
          </w:rPr>
          <w:t>https://list.nih.gov/</w:t>
        </w:r>
      </w:hyperlink>
    </w:p>
    <w:p w:rsidR="00E4316F" w:rsidRPr="00E4316F" w:rsidRDefault="00E4316F" w:rsidP="00E4316F">
      <w:pPr>
        <w:spacing w:before="200"/>
        <w:jc w:val="both"/>
        <w:rPr>
          <w:rFonts w:ascii="-webkit-standard" w:eastAsia="Times New Roman" w:hAnsi="-webkit-standard" w:cs="Times New Roman"/>
          <w:color w:val="000000"/>
        </w:rPr>
      </w:pPr>
      <w:hyperlink r:id="rId10" w:history="1">
        <w:r w:rsidRPr="00E4316F">
          <w:rPr>
            <w:rFonts w:ascii="Arial" w:eastAsia="Times New Roman" w:hAnsi="Arial" w:cs="Arial"/>
            <w:color w:val="1155CC"/>
            <w:sz w:val="19"/>
            <w:szCs w:val="19"/>
            <w:u w:val="single"/>
            <w:shd w:val="clear" w:color="auto" w:fill="FFFFFF"/>
          </w:rPr>
          <w:t>https://list.nih.gov/cgi-bin/wa.exe?A0=itcr_participants</w:t>
        </w:r>
      </w:hyperlink>
    </w:p>
    <w:p w:rsidR="00E4316F" w:rsidRPr="00E4316F" w:rsidRDefault="00E4316F" w:rsidP="00E4316F">
      <w:pPr>
        <w:spacing w:before="200"/>
        <w:jc w:val="both"/>
        <w:rPr>
          <w:rFonts w:ascii="-webkit-standard" w:eastAsia="Times New Roman" w:hAnsi="-webkit-standard" w:cs="Times New Roman"/>
          <w:color w:val="000000"/>
        </w:rPr>
      </w:pPr>
      <w:hyperlink r:id="rId11" w:history="1">
        <w:r w:rsidRPr="00E4316F">
          <w:rPr>
            <w:rFonts w:ascii="Arial" w:eastAsia="Times New Roman" w:hAnsi="Arial" w:cs="Arial"/>
            <w:color w:val="1155CC"/>
            <w:sz w:val="19"/>
            <w:szCs w:val="19"/>
            <w:u w:val="single"/>
            <w:shd w:val="clear" w:color="auto" w:fill="FFFFFF"/>
          </w:rPr>
          <w:t>https://list.nih.gov/cgi-bin/wa.exe?A0=itcr-tech-wg</w:t>
        </w:r>
      </w:hyperlink>
    </w:p>
    <w:p w:rsidR="00E4316F" w:rsidRPr="00E4316F" w:rsidRDefault="00E4316F" w:rsidP="00E4316F">
      <w:pPr>
        <w:spacing w:before="200"/>
        <w:jc w:val="both"/>
        <w:outlineLvl w:val="0"/>
        <w:rPr>
          <w:rFonts w:ascii="-webkit-standard" w:eastAsia="Times New Roman" w:hAnsi="-webkit-standard" w:cs="Times New Roman"/>
          <w:b/>
          <w:bCs/>
          <w:color w:val="000000"/>
          <w:kern w:val="36"/>
          <w:sz w:val="48"/>
          <w:szCs w:val="48"/>
        </w:rPr>
      </w:pPr>
      <w:r w:rsidRPr="00E4316F">
        <w:rPr>
          <w:rFonts w:ascii="Arial" w:eastAsia="Times New Roman" w:hAnsi="Arial" w:cs="Arial"/>
          <w:color w:val="000000"/>
          <w:kern w:val="36"/>
          <w:sz w:val="32"/>
          <w:szCs w:val="32"/>
        </w:rPr>
        <w:t>Special issue proposal outline</w:t>
      </w:r>
    </w:p>
    <w:p w:rsidR="00E4316F" w:rsidRPr="00E4316F" w:rsidRDefault="00E4316F" w:rsidP="00E4316F">
      <w:pPr>
        <w:spacing w:before="200"/>
        <w:jc w:val="both"/>
        <w:rPr>
          <w:rFonts w:ascii="-webkit-standard" w:eastAsia="Times New Roman" w:hAnsi="-webkit-standard" w:cs="Times New Roman"/>
          <w:color w:val="000000"/>
        </w:rPr>
      </w:pPr>
      <w:r w:rsidRPr="00E4316F">
        <w:rPr>
          <w:rFonts w:ascii="Arial" w:eastAsia="Times New Roman" w:hAnsi="Arial" w:cs="Arial"/>
          <w:color w:val="666666"/>
          <w:sz w:val="19"/>
          <w:szCs w:val="19"/>
          <w:shd w:val="clear" w:color="auto" w:fill="FFFFFF"/>
        </w:rPr>
        <w:t xml:space="preserve">Draft Proposal for Special Journal Issue: </w:t>
      </w:r>
    </w:p>
    <w:p w:rsidR="00E4316F" w:rsidRPr="00E4316F" w:rsidRDefault="00E4316F" w:rsidP="00E4316F">
      <w:pPr>
        <w:spacing w:before="200"/>
        <w:jc w:val="both"/>
        <w:rPr>
          <w:rFonts w:ascii="-webkit-standard" w:eastAsia="Times New Roman" w:hAnsi="-webkit-standard" w:cs="Times New Roman"/>
          <w:color w:val="000000"/>
        </w:rPr>
      </w:pPr>
      <w:r w:rsidRPr="00E4316F">
        <w:rPr>
          <w:rFonts w:ascii="Calibri" w:eastAsia="Times New Roman" w:hAnsi="Calibri" w:cs="Calibri"/>
          <w:color w:val="666666"/>
          <w:sz w:val="22"/>
          <w:szCs w:val="22"/>
          <w:u w:val="single"/>
          <w:shd w:val="clear" w:color="auto" w:fill="FFFFFF"/>
        </w:rPr>
        <w:t>Background</w:t>
      </w:r>
      <w:r w:rsidRPr="00E4316F">
        <w:rPr>
          <w:rFonts w:ascii="Calibri" w:eastAsia="Times New Roman" w:hAnsi="Calibri" w:cs="Calibri"/>
          <w:color w:val="666666"/>
          <w:sz w:val="22"/>
          <w:szCs w:val="22"/>
          <w:shd w:val="clear" w:color="auto" w:fill="FFFFFF"/>
        </w:rPr>
        <w:t>: The Vice President’s Cancer Initiative (aka, the ‘’Cancer Moonshot”) has focused national attention on the need to accelerate progress in the diagnosis, treatment, prevention, and understanding of cancer. A critical element in improving cancer outcomes is our ability to make effective use of the deluge of data from genomic and other ‘omic studies; imaging; clinical trials; clinical care; epidemiology; and other sources of cancer data. The US National Cancer Institute is investing in programs aimed at developing the informatics tools and resources necessary to effectively manage, access, integrate, and analyze cancer data.  Most recently, the release of the NCI’s Genomic Data Commons was highlighted by Vice President at ASCO as a critical resource that will advance cancer research through a common platform for data sharing. In addition to the GDC, two key informatics initiatives of the NCI are the Informatics Technology for Cancer Research (ITCR) Program and the Cancer Genomics Cloud Pilots. The ITCR Program is a trans-NCI extramural funding initiative supporting investigator-initiated, research-driven informatics technology development across the cancer research continuum. The Cancer Genomics Cloud Pilots are designed to explore innovative methods for accessing and computing on large cancer data by bringing data and analysis together on a single platform with co-located computational capacity. Through these programs and others, tremendous progress is being made in providing advanced tools and resources to the community to support the rapidly-increasing need for data management and analysis.    </w:t>
      </w:r>
    </w:p>
    <w:p w:rsidR="00E4316F" w:rsidRPr="00E4316F" w:rsidRDefault="00E4316F" w:rsidP="00E4316F">
      <w:pPr>
        <w:spacing w:before="200"/>
        <w:jc w:val="both"/>
        <w:rPr>
          <w:rFonts w:ascii="-webkit-standard" w:eastAsia="Times New Roman" w:hAnsi="-webkit-standard" w:cs="Times New Roman"/>
          <w:color w:val="000000"/>
        </w:rPr>
      </w:pPr>
      <w:r w:rsidRPr="00E4316F">
        <w:rPr>
          <w:rFonts w:ascii="Calibri" w:eastAsia="Times New Roman" w:hAnsi="Calibri" w:cs="Calibri"/>
          <w:color w:val="666666"/>
          <w:sz w:val="22"/>
          <w:szCs w:val="22"/>
          <w:u w:val="single"/>
          <w:shd w:val="clear" w:color="auto" w:fill="FFFFFF"/>
        </w:rPr>
        <w:t>Proposal</w:t>
      </w:r>
      <w:r w:rsidRPr="00E4316F">
        <w:rPr>
          <w:rFonts w:ascii="Calibri" w:eastAsia="Times New Roman" w:hAnsi="Calibri" w:cs="Calibri"/>
          <w:color w:val="666666"/>
          <w:sz w:val="22"/>
          <w:szCs w:val="22"/>
          <w:shd w:val="clear" w:color="auto" w:fill="FFFFFF"/>
        </w:rPr>
        <w:t xml:space="preserve">: We propose creating special issue of </w:t>
      </w:r>
      <w:r w:rsidRPr="00E4316F">
        <w:rPr>
          <w:rFonts w:ascii="Calibri" w:eastAsia="Times New Roman" w:hAnsi="Calibri" w:cs="Calibri"/>
          <w:i/>
          <w:iCs/>
          <w:color w:val="666666"/>
          <w:sz w:val="22"/>
          <w:szCs w:val="22"/>
          <w:shd w:val="clear" w:color="auto" w:fill="FFFFFF"/>
        </w:rPr>
        <w:t>Cancer Research</w:t>
      </w:r>
      <w:r w:rsidRPr="00E4316F">
        <w:rPr>
          <w:rFonts w:ascii="Calibri" w:eastAsia="Times New Roman" w:hAnsi="Calibri" w:cs="Calibri"/>
          <w:color w:val="666666"/>
          <w:sz w:val="22"/>
          <w:szCs w:val="22"/>
          <w:shd w:val="clear" w:color="auto" w:fill="FFFFFF"/>
        </w:rPr>
        <w:t xml:space="preserve"> dedicated to state-of-the-art cancer informatics tools and resources sponsored by the NCI.  The timing for such an effort is ideal, in light of the national focus on cancer research and the associated importance of data sharing and analysis. The goals of this special issue are: 1) To raise awareness among cancer researchers of the informatics tools and resources available to support their work; 2) To provide practical, go-to resources to the cancer research community to help them apply these tools to their research; 3) To provide examples of how these tools are being applied – individually and coordinately – to cancer research activities; 4) To continue to grow the community of cancer informatics tools, collaborating to address critical needs in cancer research. These papers will be authored by thought-leaders in the cancer informatics community. As one of the highest impact journals in the field, we believe a special issue of </w:t>
      </w:r>
      <w:r w:rsidRPr="00E4316F">
        <w:rPr>
          <w:rFonts w:ascii="Calibri" w:eastAsia="Times New Roman" w:hAnsi="Calibri" w:cs="Calibri"/>
          <w:i/>
          <w:iCs/>
          <w:color w:val="666666"/>
          <w:sz w:val="22"/>
          <w:szCs w:val="22"/>
          <w:shd w:val="clear" w:color="auto" w:fill="FFFFFF"/>
        </w:rPr>
        <w:t>Cancer Research</w:t>
      </w:r>
      <w:r w:rsidRPr="00E4316F">
        <w:rPr>
          <w:rFonts w:ascii="Calibri" w:eastAsia="Times New Roman" w:hAnsi="Calibri" w:cs="Calibri"/>
          <w:color w:val="666666"/>
          <w:sz w:val="22"/>
          <w:szCs w:val="22"/>
          <w:shd w:val="clear" w:color="auto" w:fill="FFFFFF"/>
        </w:rPr>
        <w:t xml:space="preserve"> is the ideal way to </w:t>
      </w:r>
      <w:r w:rsidRPr="00E4316F">
        <w:rPr>
          <w:rFonts w:ascii="Calibri" w:eastAsia="Times New Roman" w:hAnsi="Calibri" w:cs="Calibri"/>
          <w:color w:val="666666"/>
          <w:sz w:val="22"/>
          <w:szCs w:val="22"/>
          <w:shd w:val="clear" w:color="auto" w:fill="FFFFFF"/>
        </w:rPr>
        <w:lastRenderedPageBreak/>
        <w:t>disseminate this information to the cancer research community and it is likely that the issue will be widely read and cited.</w:t>
      </w:r>
    </w:p>
    <w:p w:rsidR="00E4316F" w:rsidRPr="00E4316F" w:rsidRDefault="00E4316F" w:rsidP="00E4316F">
      <w:pPr>
        <w:spacing w:before="200"/>
        <w:jc w:val="both"/>
        <w:rPr>
          <w:rFonts w:ascii="-webkit-standard" w:eastAsia="Times New Roman" w:hAnsi="-webkit-standard" w:cs="Times New Roman"/>
          <w:color w:val="000000"/>
        </w:rPr>
      </w:pPr>
      <w:r w:rsidRPr="00E4316F">
        <w:rPr>
          <w:rFonts w:ascii="Calibri" w:eastAsia="Times New Roman" w:hAnsi="Calibri" w:cs="Calibri"/>
          <w:color w:val="666666"/>
          <w:sz w:val="22"/>
          <w:szCs w:val="22"/>
          <w:u w:val="single"/>
          <w:shd w:val="clear" w:color="auto" w:fill="FFFFFF"/>
        </w:rPr>
        <w:t>Format</w:t>
      </w:r>
      <w:r w:rsidRPr="00E4316F">
        <w:rPr>
          <w:rFonts w:ascii="Calibri" w:eastAsia="Times New Roman" w:hAnsi="Calibri" w:cs="Calibri"/>
          <w:color w:val="666666"/>
          <w:sz w:val="22"/>
          <w:szCs w:val="22"/>
          <w:shd w:val="clear" w:color="auto" w:fill="FFFFFF"/>
        </w:rPr>
        <w:t xml:space="preserve">: To meet the goals for this cancer informatics special issue of </w:t>
      </w:r>
      <w:r w:rsidRPr="00E4316F">
        <w:rPr>
          <w:rFonts w:ascii="Calibri" w:eastAsia="Times New Roman" w:hAnsi="Calibri" w:cs="Calibri"/>
          <w:i/>
          <w:iCs/>
          <w:color w:val="666666"/>
          <w:sz w:val="22"/>
          <w:szCs w:val="22"/>
          <w:shd w:val="clear" w:color="auto" w:fill="FFFFFF"/>
        </w:rPr>
        <w:t>Cancer Research</w:t>
      </w:r>
      <w:r w:rsidRPr="00E4316F">
        <w:rPr>
          <w:rFonts w:ascii="Calibri" w:eastAsia="Times New Roman" w:hAnsi="Calibri" w:cs="Calibri"/>
          <w:color w:val="666666"/>
          <w:sz w:val="22"/>
          <w:szCs w:val="22"/>
          <w:shd w:val="clear" w:color="auto" w:fill="FFFFFF"/>
        </w:rPr>
        <w:t>, we propose the following format:</w:t>
      </w:r>
    </w:p>
    <w:p w:rsidR="00E4316F" w:rsidRPr="00E4316F" w:rsidRDefault="00E4316F" w:rsidP="00E4316F">
      <w:pPr>
        <w:spacing w:before="200"/>
        <w:ind w:left="420"/>
        <w:jc w:val="both"/>
        <w:rPr>
          <w:rFonts w:ascii="-webkit-standard" w:eastAsia="Times New Roman" w:hAnsi="-webkit-standard" w:cs="Times New Roman"/>
          <w:color w:val="000000"/>
        </w:rPr>
      </w:pPr>
      <w:r w:rsidRPr="00E4316F">
        <w:rPr>
          <w:rFonts w:ascii="Calibri" w:eastAsia="Times New Roman" w:hAnsi="Calibri" w:cs="Calibri"/>
          <w:color w:val="666666"/>
          <w:sz w:val="22"/>
          <w:szCs w:val="22"/>
          <w:shd w:val="clear" w:color="auto" w:fill="FFFFFF"/>
        </w:rPr>
        <w:t>-</w:t>
      </w:r>
      <w:r w:rsidRPr="00E4316F">
        <w:rPr>
          <w:rFonts w:ascii="Times New Roman" w:eastAsia="Times New Roman" w:hAnsi="Times New Roman" w:cs="Times New Roman"/>
          <w:color w:val="666666"/>
          <w:sz w:val="14"/>
          <w:szCs w:val="14"/>
          <w:shd w:val="clear" w:color="auto" w:fill="FFFFFF"/>
        </w:rPr>
        <w:t xml:space="preserve">       </w:t>
      </w:r>
      <w:r w:rsidRPr="00E4316F">
        <w:rPr>
          <w:rFonts w:ascii="Calibri" w:eastAsia="Times New Roman" w:hAnsi="Calibri" w:cs="Calibri"/>
          <w:color w:val="666666"/>
          <w:sz w:val="22"/>
          <w:szCs w:val="22"/>
          <w:shd w:val="clear" w:color="auto" w:fill="FFFFFF"/>
        </w:rPr>
        <w:t xml:space="preserve">A series of “Methods” papers describing the purpose of each tool or resource along with a tutorial on the use of the tool.  Each paper will include a pointer to the tool/resource and as appropriate, example data sets or queries to try out the tool. We also propose that each tool or resource create a short video tutorial that will be referenced by the Methods paper. The number of methods papers is easily scalable and should be mutually determined.  We propose that the papers include a representative cross section of cancer research domains. </w:t>
      </w:r>
    </w:p>
    <w:p w:rsidR="00E4316F" w:rsidRPr="00E4316F" w:rsidRDefault="00E4316F" w:rsidP="00E4316F">
      <w:pPr>
        <w:spacing w:before="200"/>
        <w:ind w:left="420"/>
        <w:jc w:val="both"/>
        <w:rPr>
          <w:rFonts w:ascii="-webkit-standard" w:eastAsia="Times New Roman" w:hAnsi="-webkit-standard" w:cs="Times New Roman"/>
          <w:color w:val="000000"/>
        </w:rPr>
      </w:pPr>
      <w:r w:rsidRPr="00E4316F">
        <w:rPr>
          <w:rFonts w:ascii="Calibri" w:eastAsia="Times New Roman" w:hAnsi="Calibri" w:cs="Calibri"/>
          <w:color w:val="666666"/>
          <w:sz w:val="22"/>
          <w:szCs w:val="22"/>
          <w:shd w:val="clear" w:color="auto" w:fill="FFFFFF"/>
        </w:rPr>
        <w:t>-</w:t>
      </w:r>
      <w:r w:rsidRPr="00E4316F">
        <w:rPr>
          <w:rFonts w:ascii="Times New Roman" w:eastAsia="Times New Roman" w:hAnsi="Times New Roman" w:cs="Times New Roman"/>
          <w:color w:val="666666"/>
          <w:sz w:val="14"/>
          <w:szCs w:val="14"/>
          <w:shd w:val="clear" w:color="auto" w:fill="FFFFFF"/>
        </w:rPr>
        <w:t xml:space="preserve">       </w:t>
      </w:r>
      <w:r w:rsidRPr="00E4316F">
        <w:rPr>
          <w:rFonts w:ascii="Calibri" w:eastAsia="Times New Roman" w:hAnsi="Calibri" w:cs="Calibri"/>
          <w:color w:val="666666"/>
          <w:sz w:val="22"/>
          <w:szCs w:val="22"/>
          <w:shd w:val="clear" w:color="auto" w:fill="FFFFFF"/>
        </w:rPr>
        <w:t> A series of “Application Notes” describing hypothesis-driven research accomplished through significant support of one or more of these tools or resources. These papers would highlight the practical utility of these tool and resources in ongoing cancer research. The number of these papers would be mutually determined.</w:t>
      </w:r>
    </w:p>
    <w:p w:rsidR="00E4316F" w:rsidRPr="00E4316F" w:rsidRDefault="00E4316F" w:rsidP="00E4316F">
      <w:pPr>
        <w:rPr>
          <w:rFonts w:ascii="Times New Roman" w:eastAsia="Times New Roman" w:hAnsi="Times New Roman" w:cs="Times New Roman"/>
        </w:rPr>
      </w:pPr>
      <w:r w:rsidRPr="00E4316F">
        <w:rPr>
          <w:rFonts w:ascii="Calibri" w:eastAsia="Times New Roman" w:hAnsi="Calibri" w:cs="Calibri"/>
          <w:color w:val="666666"/>
          <w:sz w:val="22"/>
          <w:szCs w:val="22"/>
          <w:shd w:val="clear" w:color="auto" w:fill="FFFFFF"/>
        </w:rPr>
        <w:t>-</w:t>
      </w:r>
      <w:r w:rsidRPr="00E4316F">
        <w:rPr>
          <w:rFonts w:ascii="Times New Roman" w:eastAsia="Times New Roman" w:hAnsi="Times New Roman" w:cs="Times New Roman"/>
          <w:color w:val="666666"/>
          <w:sz w:val="14"/>
          <w:szCs w:val="14"/>
          <w:shd w:val="clear" w:color="auto" w:fill="FFFFFF"/>
        </w:rPr>
        <w:t xml:space="preserve">       </w:t>
      </w:r>
      <w:r w:rsidRPr="00E4316F">
        <w:rPr>
          <w:rFonts w:ascii="Calibri" w:eastAsia="Times New Roman" w:hAnsi="Calibri" w:cs="Calibri"/>
          <w:color w:val="666666"/>
          <w:sz w:val="22"/>
          <w:szCs w:val="22"/>
          <w:shd w:val="clear" w:color="auto" w:fill="FFFFFF"/>
        </w:rPr>
        <w:t xml:space="preserve">An introductory editorial by John Quackenbush describing the current state of cancer informatics, the successes and challenges, and the road ahead. </w:t>
      </w:r>
    </w:p>
    <w:p w:rsidR="00BE6A95" w:rsidRDefault="00BE6A95">
      <w:bookmarkStart w:id="0" w:name="_GoBack"/>
      <w:bookmarkEnd w:id="0"/>
    </w:p>
    <w:sectPr w:rsidR="00BE6A95" w:rsidSect="00F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A0F75"/>
    <w:multiLevelType w:val="multilevel"/>
    <w:tmpl w:val="5ECAF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23371E"/>
    <w:multiLevelType w:val="multilevel"/>
    <w:tmpl w:val="683A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0"/>
    <w:lvlOverride w:ilvl="1">
      <w:lvl w:ilvl="1">
        <w:numFmt w:val="lowerLetter"/>
        <w:lvlText w:val="%2."/>
        <w:lvlJc w:val="left"/>
      </w:lvl>
    </w:lvlOverride>
    <w:lvlOverride w:ilvl="2">
      <w:lvl w:ilvl="2">
        <w:numFmt w:val="lowerRoman"/>
        <w:lvlText w:val="%3."/>
        <w:lvlJc w:val="right"/>
      </w:lvl>
    </w:lvlOverride>
  </w:num>
  <w:num w:numId="6">
    <w:abstractNumId w:val="0"/>
    <w:lvlOverride w:ilvl="1">
      <w:lvl w:ilvl="1">
        <w:numFmt w:val="lowerLetter"/>
        <w:lvlText w:val="%2."/>
        <w:lvlJc w:val="left"/>
      </w:lvl>
    </w:lvlOverride>
    <w:lvlOverride w:ilvl="2">
      <w:lvl w:ilvl="2">
        <w:numFmt w:val="lowerRoman"/>
        <w:lvlText w:val="%3."/>
        <w:lvlJc w:val="right"/>
      </w:lvl>
    </w:lvlOverride>
  </w:num>
  <w:num w:numId="7">
    <w:abstractNumId w:val="0"/>
    <w:lvlOverride w:ilvl="1">
      <w:lvl w:ilvl="1">
        <w:numFmt w:val="lowerLetter"/>
        <w:lvlText w:val="%2."/>
        <w:lvlJc w:val="left"/>
      </w:lvl>
    </w:lvlOverride>
    <w:lvlOverride w:ilvl="2">
      <w:lvl w:ilvl="2">
        <w:numFmt w:val="lowerRoman"/>
        <w:lvlText w:val="%3."/>
        <w:lvlJc w:val="right"/>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6F"/>
    <w:rsid w:val="000406BB"/>
    <w:rsid w:val="00057C55"/>
    <w:rsid w:val="00064D51"/>
    <w:rsid w:val="0008779A"/>
    <w:rsid w:val="000B43AF"/>
    <w:rsid w:val="000D4983"/>
    <w:rsid w:val="000F7278"/>
    <w:rsid w:val="0015070C"/>
    <w:rsid w:val="001535F3"/>
    <w:rsid w:val="00165413"/>
    <w:rsid w:val="0017106B"/>
    <w:rsid w:val="00173A5E"/>
    <w:rsid w:val="00187E62"/>
    <w:rsid w:val="001A1F37"/>
    <w:rsid w:val="001B3854"/>
    <w:rsid w:val="001B5C0E"/>
    <w:rsid w:val="001B5DB7"/>
    <w:rsid w:val="001E14D3"/>
    <w:rsid w:val="001E28CD"/>
    <w:rsid w:val="0025609B"/>
    <w:rsid w:val="00261A28"/>
    <w:rsid w:val="002A5C4B"/>
    <w:rsid w:val="002D3C0C"/>
    <w:rsid w:val="002D6230"/>
    <w:rsid w:val="00301E64"/>
    <w:rsid w:val="00315E44"/>
    <w:rsid w:val="00337DC5"/>
    <w:rsid w:val="00341F80"/>
    <w:rsid w:val="00344670"/>
    <w:rsid w:val="0037789F"/>
    <w:rsid w:val="00386A00"/>
    <w:rsid w:val="003A1BAE"/>
    <w:rsid w:val="003B1F79"/>
    <w:rsid w:val="003F50F0"/>
    <w:rsid w:val="00420B9A"/>
    <w:rsid w:val="004B6BC7"/>
    <w:rsid w:val="004F5362"/>
    <w:rsid w:val="00503108"/>
    <w:rsid w:val="00535140"/>
    <w:rsid w:val="00594A99"/>
    <w:rsid w:val="00597D6C"/>
    <w:rsid w:val="005A0F89"/>
    <w:rsid w:val="005B1D53"/>
    <w:rsid w:val="005D7749"/>
    <w:rsid w:val="006032D5"/>
    <w:rsid w:val="0061307A"/>
    <w:rsid w:val="006316B2"/>
    <w:rsid w:val="00644B26"/>
    <w:rsid w:val="00645595"/>
    <w:rsid w:val="006702A5"/>
    <w:rsid w:val="007171B0"/>
    <w:rsid w:val="007362F9"/>
    <w:rsid w:val="007637BF"/>
    <w:rsid w:val="0077625C"/>
    <w:rsid w:val="0078556D"/>
    <w:rsid w:val="007F04FE"/>
    <w:rsid w:val="00806D35"/>
    <w:rsid w:val="00810A15"/>
    <w:rsid w:val="0082546D"/>
    <w:rsid w:val="00826CDA"/>
    <w:rsid w:val="00830742"/>
    <w:rsid w:val="008B1455"/>
    <w:rsid w:val="008D0CFE"/>
    <w:rsid w:val="008D28D5"/>
    <w:rsid w:val="008E6CFE"/>
    <w:rsid w:val="00933D9F"/>
    <w:rsid w:val="009651BC"/>
    <w:rsid w:val="009677F9"/>
    <w:rsid w:val="009901F8"/>
    <w:rsid w:val="0099397D"/>
    <w:rsid w:val="009B21CB"/>
    <w:rsid w:val="009B2D7A"/>
    <w:rsid w:val="009C6503"/>
    <w:rsid w:val="009E33FF"/>
    <w:rsid w:val="009E3DD6"/>
    <w:rsid w:val="00A04088"/>
    <w:rsid w:val="00A23D0F"/>
    <w:rsid w:val="00A2611C"/>
    <w:rsid w:val="00A5090C"/>
    <w:rsid w:val="00A96DBE"/>
    <w:rsid w:val="00AB5350"/>
    <w:rsid w:val="00AB7EDD"/>
    <w:rsid w:val="00AC3E14"/>
    <w:rsid w:val="00AC707F"/>
    <w:rsid w:val="00AF2FDA"/>
    <w:rsid w:val="00B05DFA"/>
    <w:rsid w:val="00B3525E"/>
    <w:rsid w:val="00B454C7"/>
    <w:rsid w:val="00B81B2C"/>
    <w:rsid w:val="00B93FE4"/>
    <w:rsid w:val="00BA40CF"/>
    <w:rsid w:val="00BD0C7A"/>
    <w:rsid w:val="00BE6A95"/>
    <w:rsid w:val="00BF645D"/>
    <w:rsid w:val="00C120E3"/>
    <w:rsid w:val="00C12FAD"/>
    <w:rsid w:val="00C21766"/>
    <w:rsid w:val="00C30813"/>
    <w:rsid w:val="00C312DB"/>
    <w:rsid w:val="00C630C8"/>
    <w:rsid w:val="00C811CF"/>
    <w:rsid w:val="00C8775F"/>
    <w:rsid w:val="00CA6A53"/>
    <w:rsid w:val="00CC15F6"/>
    <w:rsid w:val="00CC1FB3"/>
    <w:rsid w:val="00CD50CA"/>
    <w:rsid w:val="00D052EF"/>
    <w:rsid w:val="00D25827"/>
    <w:rsid w:val="00D35186"/>
    <w:rsid w:val="00D456C4"/>
    <w:rsid w:val="00D87E0B"/>
    <w:rsid w:val="00D971DA"/>
    <w:rsid w:val="00DA6861"/>
    <w:rsid w:val="00DB5C70"/>
    <w:rsid w:val="00DD36B5"/>
    <w:rsid w:val="00DF06D2"/>
    <w:rsid w:val="00E03320"/>
    <w:rsid w:val="00E34995"/>
    <w:rsid w:val="00E3786F"/>
    <w:rsid w:val="00E4299C"/>
    <w:rsid w:val="00E4316F"/>
    <w:rsid w:val="00E65BB1"/>
    <w:rsid w:val="00E86FD7"/>
    <w:rsid w:val="00EC4C97"/>
    <w:rsid w:val="00EE6BF7"/>
    <w:rsid w:val="00EE6D6D"/>
    <w:rsid w:val="00F0388C"/>
    <w:rsid w:val="00F25F27"/>
    <w:rsid w:val="00F368F9"/>
    <w:rsid w:val="00F94BDE"/>
    <w:rsid w:val="00FA0E5D"/>
    <w:rsid w:val="00FC2942"/>
    <w:rsid w:val="00FD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DA193"/>
  <w14:defaultImageDpi w14:val="32767"/>
  <w15:chartTrackingRefBased/>
  <w15:docId w15:val="{520C859D-6C13-AC4B-B68D-9813EA64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4316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1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31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43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E_6JkbCuow7H56_tNu3paQ4fAfFMtMWdBcQuvOsa3Zs/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agjv5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P1D7c" TargetMode="External"/><Relationship Id="rId11" Type="http://schemas.openxmlformats.org/officeDocument/2006/relationships/hyperlink" Target="https://list.nih.gov/cgi-bin/wa.exe?A0=itcr-tech-wg" TargetMode="External"/><Relationship Id="rId5" Type="http://schemas.openxmlformats.org/officeDocument/2006/relationships/hyperlink" Target="https://goo.gl/QBNZw0" TargetMode="External"/><Relationship Id="rId10" Type="http://schemas.openxmlformats.org/officeDocument/2006/relationships/hyperlink" Target="https://list.nih.gov/cgi-bin/wa.exe?A0=itcr_participants" TargetMode="External"/><Relationship Id="rId4" Type="http://schemas.openxmlformats.org/officeDocument/2006/relationships/webSettings" Target="webSettings.xml"/><Relationship Id="rId9" Type="http://schemas.openxmlformats.org/officeDocument/2006/relationships/hyperlink" Target="https://list.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Heiskanen, Mervi (NIH/NCI) [E]</dc:creator>
  <cp:keywords/>
  <dc:description/>
  <cp:lastModifiedBy>Heiskanen, Mervi (NIH/NCI) [E]</cp:lastModifiedBy>
  <cp:revision>1</cp:revision>
  <dcterms:created xsi:type="dcterms:W3CDTF">2018-08-31T18:13:00Z</dcterms:created>
  <dcterms:modified xsi:type="dcterms:W3CDTF">2018-08-31T18:13:00Z</dcterms:modified>
</cp:coreProperties>
</file>