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2DE" w:rsidRDefault="00531FEA">
      <w:pPr>
        <w:pStyle w:val="Title"/>
        <w:spacing w:line="331" w:lineRule="auto"/>
        <w:jc w:val="center"/>
      </w:pPr>
      <w:bookmarkStart w:id="0" w:name="_o69etjjikq5s" w:colFirst="0" w:colLast="0"/>
      <w:bookmarkStart w:id="1" w:name="_GoBack"/>
      <w:bookmarkEnd w:id="0"/>
      <w:bookmarkEnd w:id="1"/>
      <w:r>
        <w:t>ITCR Monthly Meeting</w:t>
      </w:r>
    </w:p>
    <w:p w:rsidR="00D552DE" w:rsidRDefault="00531FEA">
      <w:pPr>
        <w:spacing w:line="331" w:lineRule="auto"/>
        <w:jc w:val="center"/>
      </w:pPr>
      <w:r>
        <w:t>May 5, 2017</w:t>
      </w:r>
    </w:p>
    <w:p w:rsidR="00D552DE" w:rsidRDefault="00531FEA">
      <w:pPr>
        <w:spacing w:line="331" w:lineRule="auto"/>
        <w:jc w:val="center"/>
      </w:pPr>
      <w:r>
        <w:t>2:00 - 3:00 pm ET</w:t>
      </w:r>
    </w:p>
    <w:p w:rsidR="00D552DE" w:rsidRDefault="00D552DE">
      <w:pPr>
        <w:spacing w:line="331" w:lineRule="auto"/>
        <w:jc w:val="center"/>
      </w:pPr>
    </w:p>
    <w:p w:rsidR="00D552DE" w:rsidRDefault="00531FEA">
      <w:pPr>
        <w:spacing w:line="331" w:lineRule="auto"/>
        <w:rPr>
          <w:sz w:val="28"/>
          <w:szCs w:val="28"/>
        </w:rPr>
      </w:pPr>
      <w:hyperlink r:id="rId5">
        <w:r>
          <w:rPr>
            <w:color w:val="1155CC"/>
            <w:sz w:val="28"/>
            <w:szCs w:val="28"/>
            <w:u w:val="single"/>
          </w:rPr>
          <w:t>Join the WebEx Meeting</w:t>
        </w:r>
      </w:hyperlink>
    </w:p>
    <w:p w:rsidR="00D552DE" w:rsidRDefault="00531FEA">
      <w:pPr>
        <w:spacing w:line="331" w:lineRule="auto"/>
      </w:pPr>
      <w:r>
        <w:t>Join by phone:</w:t>
      </w:r>
    </w:p>
    <w:p w:rsidR="00D552DE" w:rsidRDefault="00531FEA">
      <w:pPr>
        <w:spacing w:line="331" w:lineRule="auto"/>
        <w:rPr>
          <w:sz w:val="21"/>
          <w:szCs w:val="21"/>
          <w:highlight w:val="white"/>
        </w:rPr>
      </w:pPr>
      <w:r>
        <w:rPr>
          <w:sz w:val="21"/>
          <w:szCs w:val="21"/>
          <w:highlight w:val="white"/>
        </w:rPr>
        <w:t xml:space="preserve">1-650-479-3207 Call-in toll number </w:t>
      </w:r>
    </w:p>
    <w:p w:rsidR="00D552DE" w:rsidRDefault="00531FEA">
      <w:pPr>
        <w:spacing w:line="331" w:lineRule="auto"/>
        <w:rPr>
          <w:sz w:val="21"/>
          <w:szCs w:val="21"/>
          <w:highlight w:val="white"/>
        </w:rPr>
      </w:pPr>
      <w:r>
        <w:rPr>
          <w:sz w:val="23"/>
          <w:szCs w:val="23"/>
        </w:rPr>
        <w:t xml:space="preserve">Access code: 738 170 557 </w:t>
      </w:r>
    </w:p>
    <w:p w:rsidR="00D552DE" w:rsidRDefault="00D552DE">
      <w:pPr>
        <w:spacing w:line="331" w:lineRule="auto"/>
      </w:pPr>
    </w:p>
    <w:p w:rsidR="00D552DE" w:rsidRDefault="00531FEA">
      <w:pPr>
        <w:spacing w:line="331" w:lineRule="auto"/>
        <w:rPr>
          <w:i/>
          <w:sz w:val="24"/>
          <w:szCs w:val="24"/>
          <w:u w:val="single"/>
        </w:rPr>
      </w:pPr>
      <w:r>
        <w:rPr>
          <w:i/>
          <w:sz w:val="24"/>
          <w:szCs w:val="24"/>
          <w:u w:val="single"/>
        </w:rPr>
        <w:t>Reminder: Due to the large number of people on the call, it is important to put your phone on mute when not speaking. Please do not put your phone on Hold as this may broadcast on-hold music to the group.</w:t>
      </w:r>
    </w:p>
    <w:p w:rsidR="00D552DE" w:rsidRDefault="00531FEA">
      <w:pPr>
        <w:spacing w:line="331" w:lineRule="auto"/>
        <w:rPr>
          <w:i/>
          <w:sz w:val="24"/>
          <w:szCs w:val="24"/>
        </w:rPr>
      </w:pPr>
      <w:r>
        <w:rPr>
          <w:i/>
          <w:sz w:val="24"/>
          <w:szCs w:val="24"/>
        </w:rPr>
        <w:t>To mute your phone withi</w:t>
      </w:r>
      <w:r>
        <w:rPr>
          <w:i/>
          <w:sz w:val="24"/>
          <w:szCs w:val="24"/>
        </w:rPr>
        <w:t>n WebEx, hover over your name or phone number in the Participants list and click on the microphone icon on the far right.</w:t>
      </w:r>
    </w:p>
    <w:p w:rsidR="00D552DE" w:rsidRDefault="00D552DE">
      <w:pPr>
        <w:rPr>
          <w:i/>
          <w:sz w:val="24"/>
          <w:szCs w:val="24"/>
        </w:rPr>
      </w:pPr>
    </w:p>
    <w:p w:rsidR="00D552DE" w:rsidRDefault="00531FEA">
      <w:pPr>
        <w:rPr>
          <w:b/>
          <w:sz w:val="24"/>
          <w:szCs w:val="24"/>
        </w:rPr>
      </w:pPr>
      <w:r>
        <w:rPr>
          <w:sz w:val="24"/>
          <w:szCs w:val="24"/>
        </w:rPr>
        <w:t>Agenda</w:t>
      </w:r>
    </w:p>
    <w:p w:rsidR="00D552DE" w:rsidRDefault="00D552DE">
      <w:pPr>
        <w:rPr>
          <w:sz w:val="24"/>
          <w:szCs w:val="24"/>
        </w:rPr>
      </w:pPr>
    </w:p>
    <w:tbl>
      <w:tblPr>
        <w:tblStyle w:val="a"/>
        <w:tblW w:w="9120" w:type="dxa"/>
        <w:tblInd w:w="100" w:type="dxa"/>
        <w:tblLayout w:type="fixed"/>
        <w:tblLook w:val="0600" w:firstRow="0" w:lastRow="0" w:firstColumn="0" w:lastColumn="0" w:noHBand="1" w:noVBand="1"/>
      </w:tblPr>
      <w:tblGrid>
        <w:gridCol w:w="1455"/>
        <w:gridCol w:w="4725"/>
        <w:gridCol w:w="2940"/>
      </w:tblGrid>
      <w:tr w:rsidR="00D552DE">
        <w:trPr>
          <w:trHeight w:val="840"/>
        </w:trPr>
        <w:tc>
          <w:tcPr>
            <w:tcW w:w="1455" w:type="dxa"/>
            <w:tcBorders>
              <w:top w:val="single" w:sz="6" w:space="0" w:color="000000"/>
              <w:left w:val="single" w:sz="6" w:space="0" w:color="000000"/>
              <w:bottom w:val="single" w:sz="6" w:space="0" w:color="000000"/>
              <w:right w:val="single" w:sz="6" w:space="0" w:color="000000"/>
            </w:tcBorders>
          </w:tcPr>
          <w:p w:rsidR="00D552DE" w:rsidRDefault="00531FEA">
            <w:pPr>
              <w:spacing w:line="288" w:lineRule="auto"/>
              <w:rPr>
                <w:sz w:val="24"/>
                <w:szCs w:val="24"/>
              </w:rPr>
            </w:pPr>
            <w:r>
              <w:rPr>
                <w:sz w:val="24"/>
                <w:szCs w:val="24"/>
              </w:rPr>
              <w:t>2:00 - 2:05</w:t>
            </w:r>
          </w:p>
        </w:tc>
        <w:tc>
          <w:tcPr>
            <w:tcW w:w="4725" w:type="dxa"/>
            <w:tcBorders>
              <w:top w:val="single" w:sz="6" w:space="0" w:color="000000"/>
              <w:left w:val="single" w:sz="6" w:space="0" w:color="000000"/>
              <w:bottom w:val="single" w:sz="6" w:space="0" w:color="000000"/>
              <w:right w:val="single" w:sz="6" w:space="0" w:color="000000"/>
            </w:tcBorders>
          </w:tcPr>
          <w:p w:rsidR="00D552DE" w:rsidRDefault="00531FEA">
            <w:pPr>
              <w:spacing w:line="288" w:lineRule="auto"/>
              <w:rPr>
                <w:sz w:val="24"/>
                <w:szCs w:val="24"/>
              </w:rPr>
            </w:pPr>
            <w:r>
              <w:rPr>
                <w:sz w:val="24"/>
                <w:szCs w:val="24"/>
              </w:rPr>
              <w:t>General Updates</w:t>
            </w:r>
          </w:p>
          <w:p w:rsidR="00D552DE" w:rsidRDefault="00D552DE">
            <w:pPr>
              <w:spacing w:line="288" w:lineRule="auto"/>
              <w:rPr>
                <w:sz w:val="24"/>
                <w:szCs w:val="24"/>
              </w:rPr>
            </w:pPr>
          </w:p>
          <w:p w:rsidR="00D552DE" w:rsidRDefault="00531FEA">
            <w:pPr>
              <w:spacing w:line="288" w:lineRule="auto"/>
              <w:rPr>
                <w:sz w:val="24"/>
                <w:szCs w:val="24"/>
              </w:rPr>
            </w:pPr>
            <w:r>
              <w:rPr>
                <w:sz w:val="24"/>
                <w:szCs w:val="24"/>
              </w:rPr>
              <w:t>2017 PI meeting May 31-June 1!</w:t>
            </w:r>
          </w:p>
          <w:p w:rsidR="00D552DE" w:rsidRDefault="00531FEA">
            <w:pPr>
              <w:spacing w:line="288" w:lineRule="auto"/>
              <w:rPr>
                <w:sz w:val="24"/>
                <w:szCs w:val="24"/>
              </w:rPr>
            </w:pPr>
            <w:hyperlink r:id="rId6">
              <w:r>
                <w:rPr>
                  <w:color w:val="1155CC"/>
                  <w:sz w:val="24"/>
                  <w:szCs w:val="24"/>
                  <w:u w:val="single"/>
                </w:rPr>
                <w:t>https://itcr.soe.ucs</w:t>
              </w:r>
              <w:r>
                <w:rPr>
                  <w:color w:val="1155CC"/>
                  <w:sz w:val="24"/>
                  <w:szCs w:val="24"/>
                  <w:u w:val="single"/>
                </w:rPr>
                <w:t>c.edu</w:t>
              </w:r>
            </w:hyperlink>
            <w:r>
              <w:rPr>
                <w:sz w:val="24"/>
                <w:szCs w:val="24"/>
              </w:rPr>
              <w:t xml:space="preserve"> </w:t>
            </w:r>
          </w:p>
          <w:p w:rsidR="00D552DE" w:rsidRDefault="00D552DE">
            <w:pPr>
              <w:spacing w:line="288" w:lineRule="auto"/>
              <w:rPr>
                <w:sz w:val="24"/>
                <w:szCs w:val="24"/>
              </w:rPr>
            </w:pPr>
          </w:p>
          <w:p w:rsidR="00D552DE" w:rsidRDefault="00531FEA">
            <w:pPr>
              <w:spacing w:line="288" w:lineRule="auto"/>
              <w:rPr>
                <w:sz w:val="24"/>
                <w:szCs w:val="24"/>
              </w:rPr>
            </w:pPr>
            <w:r>
              <w:rPr>
                <w:sz w:val="24"/>
                <w:szCs w:val="24"/>
              </w:rPr>
              <w:t>New FOAs related to data re-analysis:</w:t>
            </w:r>
          </w:p>
          <w:p w:rsidR="00D552DE" w:rsidRDefault="00531FEA">
            <w:pPr>
              <w:spacing w:line="288" w:lineRule="auto"/>
              <w:rPr>
                <w:color w:val="800080"/>
                <w:sz w:val="24"/>
                <w:szCs w:val="24"/>
                <w:u w:val="single"/>
              </w:rPr>
            </w:pPr>
            <w:r>
              <w:fldChar w:fldCharType="begin"/>
            </w:r>
            <w:r>
              <w:instrText xml:space="preserve"> HYPERLINK "https://grants.nih.gov/grants/guide/pa-files/PA-17-239.html" </w:instrText>
            </w:r>
            <w:r>
              <w:fldChar w:fldCharType="separate"/>
            </w:r>
            <w:r>
              <w:rPr>
                <w:color w:val="800080"/>
                <w:sz w:val="24"/>
                <w:szCs w:val="24"/>
                <w:u w:val="single"/>
              </w:rPr>
              <w:t>https://grants.nih.gov/grants/guide/pa-files/PA-17-239.html</w:t>
            </w:r>
          </w:p>
          <w:p w:rsidR="00D552DE" w:rsidRDefault="00531FEA">
            <w:pPr>
              <w:spacing w:line="288" w:lineRule="auto"/>
              <w:rPr>
                <w:sz w:val="24"/>
                <w:szCs w:val="24"/>
              </w:rPr>
            </w:pPr>
            <w:r>
              <w:fldChar w:fldCharType="end"/>
            </w:r>
            <w:hyperlink r:id="rId7">
              <w:r>
                <w:rPr>
                  <w:color w:val="800080"/>
                  <w:sz w:val="24"/>
                  <w:szCs w:val="24"/>
                  <w:u w:val="single"/>
                </w:rPr>
                <w:t>https://grants.nih.gov/grants/guide/pa-files/PA-17-243.html</w:t>
              </w:r>
            </w:hyperlink>
          </w:p>
          <w:p w:rsidR="00D552DE" w:rsidRDefault="00531FEA">
            <w:pPr>
              <w:spacing w:line="288" w:lineRule="auto"/>
              <w:rPr>
                <w:sz w:val="24"/>
                <w:szCs w:val="24"/>
              </w:rPr>
            </w:pPr>
            <w:r>
              <w:rPr>
                <w:sz w:val="24"/>
                <w:szCs w:val="24"/>
              </w:rPr>
              <w:t xml:space="preserve">NCI Contact: Melissa Rotunno, </w:t>
            </w:r>
            <w:r>
              <w:rPr>
                <w:color w:val="428BCA"/>
                <w:sz w:val="24"/>
                <w:szCs w:val="24"/>
              </w:rPr>
              <w:t>rotunnom@mail.nih.gov</w:t>
            </w:r>
          </w:p>
          <w:p w:rsidR="00D552DE" w:rsidRDefault="00D552DE">
            <w:pPr>
              <w:spacing w:line="288" w:lineRule="auto"/>
            </w:pPr>
          </w:p>
          <w:p w:rsidR="00D552DE" w:rsidRDefault="00531FEA">
            <w:pPr>
              <w:spacing w:line="288" w:lineRule="auto"/>
            </w:pPr>
            <w:hyperlink r:id="rId8">
              <w:r>
                <w:rPr>
                  <w:color w:val="1155CC"/>
                  <w:u w:val="single"/>
                </w:rPr>
                <w:t>IMAT-ITCR collaborative supplements</w:t>
              </w:r>
            </w:hyperlink>
            <w:r>
              <w:t>.  Next receipt date is 7/25/2017.</w:t>
            </w:r>
            <w:r>
              <w:fldChar w:fldCharType="begin"/>
            </w:r>
            <w:r>
              <w:instrText xml:space="preserve"> HYPERLINK "https://grants.nih.gov/grants/guide/pa-files/PA-17-243.html" </w:instrText>
            </w:r>
            <w:r>
              <w:fldChar w:fldCharType="separate"/>
            </w:r>
          </w:p>
          <w:p w:rsidR="00D552DE" w:rsidRDefault="00531FEA">
            <w:pPr>
              <w:spacing w:line="288" w:lineRule="auto"/>
              <w:rPr>
                <w:sz w:val="24"/>
                <w:szCs w:val="24"/>
              </w:rPr>
            </w:pPr>
            <w:r>
              <w:fldChar w:fldCharType="end"/>
            </w:r>
          </w:p>
        </w:tc>
        <w:tc>
          <w:tcPr>
            <w:tcW w:w="2940" w:type="dxa"/>
            <w:tcBorders>
              <w:top w:val="single" w:sz="6" w:space="0" w:color="000000"/>
              <w:left w:val="single" w:sz="6" w:space="0" w:color="000000"/>
              <w:bottom w:val="single" w:sz="6" w:space="0" w:color="000000"/>
              <w:right w:val="single" w:sz="6" w:space="0" w:color="000000"/>
            </w:tcBorders>
          </w:tcPr>
          <w:p w:rsidR="00D552DE" w:rsidRDefault="00531FEA">
            <w:pPr>
              <w:spacing w:line="288" w:lineRule="auto"/>
              <w:rPr>
                <w:sz w:val="24"/>
                <w:szCs w:val="24"/>
              </w:rPr>
            </w:pPr>
            <w:r>
              <w:rPr>
                <w:sz w:val="24"/>
                <w:szCs w:val="24"/>
              </w:rPr>
              <w:t>Juli Klemm</w:t>
            </w:r>
          </w:p>
        </w:tc>
      </w:tr>
      <w:tr w:rsidR="00D552DE">
        <w:tc>
          <w:tcPr>
            <w:tcW w:w="1455" w:type="dxa"/>
            <w:tcBorders>
              <w:top w:val="single" w:sz="6" w:space="0" w:color="000000"/>
              <w:left w:val="single" w:sz="6" w:space="0" w:color="000000"/>
              <w:bottom w:val="single" w:sz="6" w:space="0" w:color="000000"/>
              <w:right w:val="single" w:sz="6" w:space="0" w:color="000000"/>
            </w:tcBorders>
          </w:tcPr>
          <w:p w:rsidR="00D552DE" w:rsidRDefault="00531FEA">
            <w:pPr>
              <w:spacing w:line="288" w:lineRule="auto"/>
              <w:rPr>
                <w:sz w:val="24"/>
                <w:szCs w:val="24"/>
              </w:rPr>
            </w:pPr>
            <w:r>
              <w:rPr>
                <w:sz w:val="24"/>
                <w:szCs w:val="24"/>
              </w:rPr>
              <w:t>2:05 - 2:55</w:t>
            </w:r>
          </w:p>
        </w:tc>
        <w:tc>
          <w:tcPr>
            <w:tcW w:w="4725" w:type="dxa"/>
            <w:tcBorders>
              <w:top w:val="single" w:sz="6" w:space="0" w:color="000000"/>
              <w:left w:val="single" w:sz="6" w:space="0" w:color="000000"/>
              <w:bottom w:val="single" w:sz="6" w:space="0" w:color="000000"/>
              <w:right w:val="single" w:sz="6" w:space="0" w:color="000000"/>
            </w:tcBorders>
          </w:tcPr>
          <w:p w:rsidR="00D552DE" w:rsidRDefault="00531FEA">
            <w:pPr>
              <w:rPr>
                <w:sz w:val="24"/>
                <w:szCs w:val="24"/>
              </w:rPr>
            </w:pPr>
            <w:r>
              <w:rPr>
                <w:sz w:val="24"/>
                <w:szCs w:val="24"/>
              </w:rPr>
              <w:t xml:space="preserve">Discuss </w:t>
            </w:r>
            <w:r>
              <w:rPr>
                <w:sz w:val="24"/>
                <w:szCs w:val="24"/>
              </w:rPr>
              <w:t xml:space="preserve">research questions that can be explored using the Ivy-GAP dataset </w:t>
            </w:r>
          </w:p>
          <w:p w:rsidR="00D552DE" w:rsidRDefault="00D552DE">
            <w:pPr>
              <w:rPr>
                <w:sz w:val="24"/>
                <w:szCs w:val="24"/>
              </w:rPr>
            </w:pPr>
          </w:p>
          <w:p w:rsidR="00D552DE" w:rsidRDefault="00531FEA">
            <w:pPr>
              <w:rPr>
                <w:sz w:val="24"/>
                <w:szCs w:val="24"/>
              </w:rPr>
            </w:pPr>
            <w:r>
              <w:rPr>
                <w:sz w:val="24"/>
                <w:szCs w:val="24"/>
              </w:rPr>
              <w:t xml:space="preserve">IvyGAP </w:t>
            </w:r>
            <w:hyperlink r:id="rId9">
              <w:r>
                <w:rPr>
                  <w:color w:val="1155CC"/>
                  <w:sz w:val="24"/>
                  <w:szCs w:val="24"/>
                  <w:u w:val="single"/>
                </w:rPr>
                <w:t>slides</w:t>
              </w:r>
            </w:hyperlink>
          </w:p>
          <w:p w:rsidR="00D552DE" w:rsidRDefault="00531FEA">
            <w:pPr>
              <w:rPr>
                <w:sz w:val="24"/>
                <w:szCs w:val="24"/>
              </w:rPr>
            </w:pPr>
            <w:hyperlink r:id="rId10">
              <w:r>
                <w:rPr>
                  <w:color w:val="1155CC"/>
                  <w:sz w:val="24"/>
                  <w:szCs w:val="24"/>
                  <w:u w:val="single"/>
                </w:rPr>
                <w:t>Anatomic transcriptional atlas</w:t>
              </w:r>
            </w:hyperlink>
          </w:p>
          <w:p w:rsidR="00D552DE" w:rsidRDefault="00531FEA">
            <w:pPr>
              <w:rPr>
                <w:sz w:val="24"/>
                <w:szCs w:val="24"/>
              </w:rPr>
            </w:pPr>
            <w:hyperlink r:id="rId11">
              <w:r>
                <w:rPr>
                  <w:color w:val="1155CC"/>
                  <w:sz w:val="24"/>
                  <w:szCs w:val="24"/>
                  <w:u w:val="single"/>
                </w:rPr>
                <w:t>Detailed clinical and genomic data</w:t>
              </w:r>
            </w:hyperlink>
          </w:p>
          <w:p w:rsidR="00D552DE" w:rsidRDefault="00D552DE">
            <w:pPr>
              <w:rPr>
                <w:color w:val="333333"/>
                <w:sz w:val="21"/>
                <w:szCs w:val="21"/>
                <w:shd w:val="clear" w:color="auto" w:fill="FCFCFC"/>
              </w:rPr>
            </w:pPr>
          </w:p>
          <w:p w:rsidR="00D552DE" w:rsidRDefault="00531FEA">
            <w:pPr>
              <w:rPr>
                <w:color w:val="666666"/>
                <w:sz w:val="21"/>
                <w:szCs w:val="21"/>
                <w:shd w:val="clear" w:color="auto" w:fill="FCFCFC"/>
              </w:rPr>
            </w:pPr>
            <w:r>
              <w:rPr>
                <w:color w:val="666666"/>
                <w:sz w:val="21"/>
                <w:szCs w:val="21"/>
                <w:shd w:val="clear" w:color="auto" w:fill="FCFCFC"/>
              </w:rPr>
              <w:t>Radiology images are available through TCIA</w:t>
            </w:r>
          </w:p>
          <w:p w:rsidR="00D552DE" w:rsidRDefault="00531FEA">
            <w:pPr>
              <w:rPr>
                <w:color w:val="666666"/>
                <w:sz w:val="21"/>
                <w:szCs w:val="21"/>
                <w:shd w:val="clear" w:color="auto" w:fill="FCFCFC"/>
              </w:rPr>
            </w:pPr>
            <w:r>
              <w:rPr>
                <w:color w:val="666666"/>
                <w:sz w:val="21"/>
                <w:szCs w:val="21"/>
                <w:shd w:val="clear" w:color="auto" w:fill="FCFCFC"/>
              </w:rPr>
              <w:t>Joel Saltz’s group creating a curated set of the pathology images.</w:t>
            </w:r>
          </w:p>
          <w:p w:rsidR="00D552DE" w:rsidRDefault="00D552DE">
            <w:pPr>
              <w:rPr>
                <w:color w:val="666666"/>
                <w:sz w:val="21"/>
                <w:szCs w:val="21"/>
                <w:shd w:val="clear" w:color="auto" w:fill="FCFCFC"/>
              </w:rPr>
            </w:pPr>
          </w:p>
          <w:p w:rsidR="00D552DE" w:rsidRDefault="00531FEA">
            <w:pPr>
              <w:rPr>
                <w:color w:val="666666"/>
                <w:sz w:val="21"/>
                <w:szCs w:val="21"/>
                <w:shd w:val="clear" w:color="auto" w:fill="FCFCFC"/>
              </w:rPr>
            </w:pPr>
            <w:r>
              <w:rPr>
                <w:color w:val="666666"/>
                <w:sz w:val="21"/>
                <w:szCs w:val="21"/>
                <w:shd w:val="clear" w:color="auto" w:fill="FCFCFC"/>
              </w:rPr>
              <w:t>Dr. Nadejda Tsankova - Icahn School of Med</w:t>
            </w:r>
          </w:p>
          <w:p w:rsidR="00D552DE" w:rsidRDefault="00531FEA">
            <w:pPr>
              <w:numPr>
                <w:ilvl w:val="0"/>
                <w:numId w:val="2"/>
              </w:numPr>
              <w:rPr>
                <w:color w:val="666666"/>
                <w:sz w:val="21"/>
                <w:szCs w:val="21"/>
                <w:shd w:val="clear" w:color="auto" w:fill="FCFCFC"/>
              </w:rPr>
            </w:pPr>
            <w:r>
              <w:rPr>
                <w:color w:val="666666"/>
                <w:sz w:val="21"/>
                <w:szCs w:val="21"/>
                <w:shd w:val="clear" w:color="auto" w:fill="FCFCFC"/>
              </w:rPr>
              <w:t>Fresh patient-derived sampl</w:t>
            </w:r>
            <w:r>
              <w:rPr>
                <w:color w:val="666666"/>
                <w:sz w:val="21"/>
                <w:szCs w:val="21"/>
                <w:shd w:val="clear" w:color="auto" w:fill="FCFCFC"/>
              </w:rPr>
              <w:t>es, put into culture and animal models</w:t>
            </w:r>
          </w:p>
          <w:p w:rsidR="00D552DE" w:rsidRDefault="00531FEA">
            <w:pPr>
              <w:numPr>
                <w:ilvl w:val="0"/>
                <w:numId w:val="2"/>
              </w:numPr>
              <w:rPr>
                <w:color w:val="666666"/>
                <w:sz w:val="21"/>
                <w:szCs w:val="21"/>
                <w:shd w:val="clear" w:color="auto" w:fill="FCFCFC"/>
              </w:rPr>
            </w:pPr>
            <w:r>
              <w:rPr>
                <w:color w:val="666666"/>
                <w:sz w:val="21"/>
                <w:szCs w:val="21"/>
                <w:shd w:val="clear" w:color="auto" w:fill="FCFCFC"/>
              </w:rPr>
              <w:t>Interested in drivers, transcriptional machinery that is being activated</w:t>
            </w:r>
          </w:p>
          <w:p w:rsidR="00D552DE" w:rsidRDefault="00531FEA">
            <w:pPr>
              <w:numPr>
                <w:ilvl w:val="0"/>
                <w:numId w:val="2"/>
              </w:numPr>
              <w:rPr>
                <w:color w:val="666666"/>
                <w:sz w:val="21"/>
                <w:szCs w:val="21"/>
                <w:shd w:val="clear" w:color="auto" w:fill="FCFCFC"/>
              </w:rPr>
            </w:pPr>
            <w:r>
              <w:rPr>
                <w:color w:val="666666"/>
                <w:sz w:val="21"/>
                <w:szCs w:val="21"/>
                <w:shd w:val="clear" w:color="auto" w:fill="FCFCFC"/>
              </w:rPr>
              <w:t xml:space="preserve">RNA-Seq data, chromatin state. </w:t>
            </w:r>
          </w:p>
          <w:p w:rsidR="00D552DE" w:rsidRDefault="00531FEA">
            <w:pPr>
              <w:numPr>
                <w:ilvl w:val="0"/>
                <w:numId w:val="2"/>
              </w:numPr>
              <w:rPr>
                <w:color w:val="666666"/>
                <w:sz w:val="21"/>
                <w:szCs w:val="21"/>
                <w:shd w:val="clear" w:color="auto" w:fill="FCFCFC"/>
              </w:rPr>
            </w:pPr>
            <w:r>
              <w:rPr>
                <w:color w:val="666666"/>
                <w:sz w:val="21"/>
                <w:szCs w:val="21"/>
                <w:shd w:val="clear" w:color="auto" w:fill="FCFCFC"/>
              </w:rPr>
              <w:t>Migration - what makes some cells more migratory vs proliferative?</w:t>
            </w:r>
          </w:p>
          <w:p w:rsidR="00D552DE" w:rsidRDefault="00531FEA">
            <w:pPr>
              <w:numPr>
                <w:ilvl w:val="0"/>
                <w:numId w:val="2"/>
              </w:numPr>
              <w:rPr>
                <w:color w:val="666666"/>
                <w:sz w:val="21"/>
                <w:szCs w:val="21"/>
                <w:shd w:val="clear" w:color="auto" w:fill="FCFCFC"/>
              </w:rPr>
            </w:pPr>
            <w:r>
              <w:rPr>
                <w:color w:val="666666"/>
                <w:sz w:val="21"/>
                <w:szCs w:val="21"/>
                <w:shd w:val="clear" w:color="auto" w:fill="FCFCFC"/>
              </w:rPr>
              <w:t>Leading edge, invasion questions</w:t>
            </w:r>
          </w:p>
          <w:p w:rsidR="00D552DE" w:rsidRDefault="00531FEA">
            <w:pPr>
              <w:rPr>
                <w:color w:val="3B73AF"/>
                <w:sz w:val="21"/>
                <w:szCs w:val="21"/>
                <w:shd w:val="clear" w:color="auto" w:fill="FCFCFC"/>
              </w:rPr>
            </w:pPr>
            <w:r>
              <w:rPr>
                <w:color w:val="666666"/>
                <w:sz w:val="21"/>
                <w:szCs w:val="21"/>
                <w:shd w:val="clear" w:color="auto" w:fill="FCFCFC"/>
              </w:rPr>
              <w:t xml:space="preserve">Dr. Jose Otero, OSU </w:t>
            </w:r>
            <w:r>
              <w:fldChar w:fldCharType="begin"/>
            </w:r>
            <w:r>
              <w:instrText xml:space="preserve"> HYPERLINK "http://dx.doi.org/10.7937/K9/TCIA.2016.XLwaN6nL" </w:instrText>
            </w:r>
            <w:r>
              <w:fldChar w:fldCharType="separate"/>
            </w:r>
          </w:p>
          <w:p w:rsidR="00D552DE" w:rsidRDefault="00531FEA">
            <w:pPr>
              <w:numPr>
                <w:ilvl w:val="0"/>
                <w:numId w:val="3"/>
              </w:numPr>
              <w:rPr>
                <w:sz w:val="24"/>
                <w:szCs w:val="24"/>
              </w:rPr>
            </w:pPr>
            <w:r>
              <w:fldChar w:fldCharType="end"/>
            </w:r>
            <w:r>
              <w:rPr>
                <w:sz w:val="24"/>
                <w:szCs w:val="24"/>
              </w:rPr>
              <w:t>Neuropathologist</w:t>
            </w:r>
          </w:p>
          <w:p w:rsidR="00D552DE" w:rsidRDefault="00531FEA">
            <w:pPr>
              <w:numPr>
                <w:ilvl w:val="0"/>
                <w:numId w:val="3"/>
              </w:numPr>
              <w:rPr>
                <w:sz w:val="24"/>
                <w:szCs w:val="24"/>
              </w:rPr>
            </w:pPr>
            <w:r>
              <w:rPr>
                <w:sz w:val="24"/>
                <w:szCs w:val="24"/>
              </w:rPr>
              <w:t>Interested in improved patient testing</w:t>
            </w:r>
          </w:p>
          <w:p w:rsidR="00D552DE" w:rsidRDefault="00531FEA">
            <w:pPr>
              <w:numPr>
                <w:ilvl w:val="0"/>
                <w:numId w:val="3"/>
              </w:numPr>
              <w:rPr>
                <w:sz w:val="24"/>
                <w:szCs w:val="24"/>
              </w:rPr>
            </w:pPr>
            <w:r>
              <w:rPr>
                <w:sz w:val="24"/>
                <w:szCs w:val="24"/>
              </w:rPr>
              <w:t>Goal: more objective molecular testing. But, challenges with molecular tests. False+/-</w:t>
            </w:r>
          </w:p>
          <w:p w:rsidR="00D552DE" w:rsidRDefault="00531FEA">
            <w:pPr>
              <w:numPr>
                <w:ilvl w:val="0"/>
                <w:numId w:val="3"/>
              </w:numPr>
              <w:rPr>
                <w:sz w:val="24"/>
                <w:szCs w:val="24"/>
              </w:rPr>
            </w:pPr>
            <w:r>
              <w:rPr>
                <w:sz w:val="24"/>
                <w:szCs w:val="24"/>
              </w:rPr>
              <w:t>Are there better pathology subtype markers that can be more useful in the clinic for diagnosis, treatment support</w:t>
            </w:r>
          </w:p>
          <w:p w:rsidR="00D552DE" w:rsidRDefault="00531FEA">
            <w:pPr>
              <w:numPr>
                <w:ilvl w:val="0"/>
                <w:numId w:val="3"/>
              </w:numPr>
              <w:rPr>
                <w:sz w:val="24"/>
                <w:szCs w:val="24"/>
              </w:rPr>
            </w:pPr>
            <w:r>
              <w:rPr>
                <w:sz w:val="24"/>
                <w:szCs w:val="24"/>
              </w:rPr>
              <w:t>Need objective i</w:t>
            </w:r>
            <w:r>
              <w:rPr>
                <w:sz w:val="24"/>
                <w:szCs w:val="24"/>
              </w:rPr>
              <w:t>mage analysis techniques for actionable biomarkers</w:t>
            </w:r>
          </w:p>
          <w:p w:rsidR="00D552DE" w:rsidRDefault="00531FEA">
            <w:pPr>
              <w:numPr>
                <w:ilvl w:val="0"/>
                <w:numId w:val="3"/>
              </w:numPr>
              <w:rPr>
                <w:sz w:val="24"/>
                <w:szCs w:val="24"/>
              </w:rPr>
            </w:pPr>
            <w:r>
              <w:rPr>
                <w:sz w:val="24"/>
                <w:szCs w:val="24"/>
              </w:rPr>
              <w:t>Multiplexing biomarkers on diagnostics slides - not currently on the diagnostic/clinical service</w:t>
            </w:r>
          </w:p>
          <w:p w:rsidR="00D552DE" w:rsidRDefault="00531FEA">
            <w:pPr>
              <w:numPr>
                <w:ilvl w:val="0"/>
                <w:numId w:val="3"/>
              </w:numPr>
              <w:rPr>
                <w:sz w:val="24"/>
                <w:szCs w:val="24"/>
              </w:rPr>
            </w:pPr>
            <w:r>
              <w:rPr>
                <w:sz w:val="24"/>
                <w:szCs w:val="24"/>
              </w:rPr>
              <w:t>How could promising markers be implemented in the routine diagnosis process?</w:t>
            </w:r>
          </w:p>
          <w:p w:rsidR="00D552DE" w:rsidRDefault="00531FEA">
            <w:pPr>
              <w:numPr>
                <w:ilvl w:val="0"/>
                <w:numId w:val="3"/>
              </w:numPr>
              <w:rPr>
                <w:sz w:val="24"/>
                <w:szCs w:val="24"/>
              </w:rPr>
            </w:pPr>
            <w:r>
              <w:rPr>
                <w:sz w:val="24"/>
                <w:szCs w:val="24"/>
              </w:rPr>
              <w:t>Digital pathology is in increas</w:t>
            </w:r>
            <w:r>
              <w:rPr>
                <w:sz w:val="24"/>
                <w:szCs w:val="24"/>
              </w:rPr>
              <w:t xml:space="preserve">ing use and offers new opportunities. </w:t>
            </w:r>
          </w:p>
          <w:p w:rsidR="00D552DE" w:rsidRDefault="00531FEA">
            <w:pPr>
              <w:rPr>
                <w:sz w:val="24"/>
                <w:szCs w:val="24"/>
              </w:rPr>
            </w:pPr>
            <w:r>
              <w:rPr>
                <w:sz w:val="24"/>
                <w:szCs w:val="24"/>
              </w:rPr>
              <w:t>Dr. Elizabeth Gerstner, MGH</w:t>
            </w:r>
          </w:p>
          <w:p w:rsidR="00D552DE" w:rsidRDefault="00531FEA">
            <w:pPr>
              <w:numPr>
                <w:ilvl w:val="0"/>
                <w:numId w:val="1"/>
              </w:numPr>
              <w:rPr>
                <w:sz w:val="24"/>
                <w:szCs w:val="24"/>
              </w:rPr>
            </w:pPr>
            <w:r>
              <w:rPr>
                <w:sz w:val="24"/>
                <w:szCs w:val="24"/>
              </w:rPr>
              <w:lastRenderedPageBreak/>
              <w:t xml:space="preserve">Longitudinal nature of the data is particularly interesting. </w:t>
            </w:r>
          </w:p>
          <w:p w:rsidR="00D552DE" w:rsidRDefault="00531FEA">
            <w:pPr>
              <w:numPr>
                <w:ilvl w:val="0"/>
                <w:numId w:val="1"/>
              </w:numPr>
              <w:rPr>
                <w:sz w:val="24"/>
                <w:szCs w:val="24"/>
              </w:rPr>
            </w:pPr>
            <w:r>
              <w:rPr>
                <w:sz w:val="24"/>
                <w:szCs w:val="24"/>
              </w:rPr>
              <w:t xml:space="preserve">Most ways of monitoring patients is through imaging. Need better markers of response. </w:t>
            </w:r>
          </w:p>
          <w:p w:rsidR="00D552DE" w:rsidRDefault="00531FEA">
            <w:pPr>
              <w:numPr>
                <w:ilvl w:val="0"/>
                <w:numId w:val="1"/>
              </w:numPr>
              <w:rPr>
                <w:sz w:val="24"/>
                <w:szCs w:val="24"/>
              </w:rPr>
            </w:pPr>
            <w:r>
              <w:rPr>
                <w:sz w:val="24"/>
                <w:szCs w:val="24"/>
              </w:rPr>
              <w:t>Participant in the Ivy consortium. May b</w:t>
            </w:r>
            <w:r>
              <w:rPr>
                <w:sz w:val="24"/>
                <w:szCs w:val="24"/>
              </w:rPr>
              <w:t xml:space="preserve">e potential to access more data. </w:t>
            </w:r>
          </w:p>
          <w:p w:rsidR="00D552DE" w:rsidRDefault="00D552DE">
            <w:pPr>
              <w:rPr>
                <w:sz w:val="24"/>
                <w:szCs w:val="24"/>
              </w:rPr>
            </w:pPr>
          </w:p>
          <w:p w:rsidR="00D552DE" w:rsidRDefault="00531FEA">
            <w:pPr>
              <w:rPr>
                <w:sz w:val="24"/>
                <w:szCs w:val="24"/>
              </w:rPr>
            </w:pPr>
            <w:r>
              <w:rPr>
                <w:sz w:val="24"/>
                <w:szCs w:val="24"/>
              </w:rPr>
              <w:t xml:space="preserve">Is there genomic structure/mutation hotspot data? </w:t>
            </w:r>
          </w:p>
          <w:p w:rsidR="00D552DE" w:rsidRDefault="00531FEA">
            <w:pPr>
              <w:rPr>
                <w:sz w:val="24"/>
                <w:szCs w:val="24"/>
              </w:rPr>
            </w:pPr>
            <w:r>
              <w:rPr>
                <w:sz w:val="24"/>
                <w:szCs w:val="24"/>
              </w:rPr>
              <w:t>Is there text data?</w:t>
            </w:r>
          </w:p>
          <w:p w:rsidR="00D552DE" w:rsidRDefault="00D552DE">
            <w:pPr>
              <w:rPr>
                <w:sz w:val="24"/>
                <w:szCs w:val="24"/>
              </w:rPr>
            </w:pPr>
          </w:p>
          <w:p w:rsidR="00D552DE" w:rsidRDefault="00531FEA">
            <w:pPr>
              <w:rPr>
                <w:sz w:val="24"/>
                <w:szCs w:val="24"/>
              </w:rPr>
            </w:pPr>
            <w:r>
              <w:rPr>
                <w:sz w:val="24"/>
                <w:szCs w:val="24"/>
              </w:rPr>
              <w:t xml:space="preserve">Spyros Bakas: Yes, there is RNA-Seq data. </w:t>
            </w:r>
          </w:p>
          <w:p w:rsidR="00D552DE" w:rsidRDefault="00D552DE">
            <w:pPr>
              <w:rPr>
                <w:sz w:val="24"/>
                <w:szCs w:val="24"/>
              </w:rPr>
            </w:pPr>
          </w:p>
          <w:p w:rsidR="00D552DE" w:rsidRDefault="00531FEA">
            <w:pPr>
              <w:rPr>
                <w:sz w:val="24"/>
                <w:szCs w:val="24"/>
              </w:rPr>
            </w:pPr>
            <w:r>
              <w:rPr>
                <w:sz w:val="24"/>
                <w:szCs w:val="24"/>
              </w:rPr>
              <w:t>What ITCR tools that can be applied to these questions with this dataset?</w:t>
            </w:r>
          </w:p>
          <w:p w:rsidR="00D552DE" w:rsidRDefault="00D552DE">
            <w:pPr>
              <w:rPr>
                <w:sz w:val="24"/>
                <w:szCs w:val="24"/>
              </w:rPr>
            </w:pPr>
          </w:p>
          <w:p w:rsidR="00D552DE" w:rsidRDefault="00531FEA">
            <w:pPr>
              <w:rPr>
                <w:sz w:val="24"/>
                <w:szCs w:val="24"/>
              </w:rPr>
            </w:pPr>
            <w:r>
              <w:rPr>
                <w:sz w:val="24"/>
                <w:szCs w:val="24"/>
              </w:rPr>
              <w:t>Guoqian: Do we need a common d</w:t>
            </w:r>
            <w:r>
              <w:rPr>
                <w:sz w:val="24"/>
                <w:szCs w:val="24"/>
              </w:rPr>
              <w:t>ata model and identify what additional data elements are necessary?</w:t>
            </w:r>
          </w:p>
          <w:p w:rsidR="00D552DE" w:rsidRDefault="00D552DE">
            <w:pPr>
              <w:rPr>
                <w:sz w:val="24"/>
                <w:szCs w:val="24"/>
              </w:rPr>
            </w:pPr>
          </w:p>
          <w:p w:rsidR="00D552DE" w:rsidRDefault="00531FEA">
            <w:pPr>
              <w:rPr>
                <w:sz w:val="24"/>
                <w:szCs w:val="24"/>
              </w:rPr>
            </w:pPr>
            <w:r>
              <w:rPr>
                <w:sz w:val="24"/>
                <w:szCs w:val="24"/>
              </w:rPr>
              <w:t xml:space="preserve">Andrey - Start by confirming the known, existing relationships. These are where correlations might be found/possible. </w:t>
            </w:r>
          </w:p>
          <w:p w:rsidR="00D552DE" w:rsidRDefault="00D552DE">
            <w:pPr>
              <w:rPr>
                <w:sz w:val="24"/>
                <w:szCs w:val="24"/>
              </w:rPr>
            </w:pPr>
          </w:p>
          <w:p w:rsidR="00D552DE" w:rsidRDefault="00531FEA">
            <w:pPr>
              <w:rPr>
                <w:sz w:val="24"/>
                <w:szCs w:val="24"/>
              </w:rPr>
            </w:pPr>
            <w:r>
              <w:rPr>
                <w:sz w:val="24"/>
                <w:szCs w:val="24"/>
              </w:rPr>
              <w:t>Joel: This is like a TCGA working group. Similar conventions need to be established.</w:t>
            </w:r>
          </w:p>
          <w:p w:rsidR="00D552DE" w:rsidRDefault="00D552DE">
            <w:pPr>
              <w:rPr>
                <w:sz w:val="24"/>
                <w:szCs w:val="24"/>
              </w:rPr>
            </w:pPr>
          </w:p>
          <w:p w:rsidR="00D552DE" w:rsidRDefault="00531FEA">
            <w:pPr>
              <w:rPr>
                <w:sz w:val="24"/>
                <w:szCs w:val="24"/>
              </w:rPr>
            </w:pPr>
            <w:r>
              <w:rPr>
                <w:sz w:val="24"/>
                <w:szCs w:val="24"/>
              </w:rPr>
              <w:t xml:space="preserve">Pallavi - Is there localization of pathology with </w:t>
            </w:r>
            <w:r>
              <w:rPr>
                <w:sz w:val="24"/>
                <w:szCs w:val="24"/>
              </w:rPr>
              <w:t xml:space="preserve">MRI? Radiomics and pathomics  </w:t>
            </w:r>
          </w:p>
          <w:p w:rsidR="00D552DE" w:rsidRDefault="00D552DE">
            <w:pPr>
              <w:rPr>
                <w:sz w:val="24"/>
                <w:szCs w:val="24"/>
              </w:rPr>
            </w:pPr>
          </w:p>
        </w:tc>
        <w:tc>
          <w:tcPr>
            <w:tcW w:w="2940" w:type="dxa"/>
            <w:tcBorders>
              <w:top w:val="single" w:sz="6" w:space="0" w:color="000000"/>
              <w:left w:val="single" w:sz="6" w:space="0" w:color="000000"/>
              <w:bottom w:val="single" w:sz="6" w:space="0" w:color="000000"/>
              <w:right w:val="single" w:sz="6" w:space="0" w:color="000000"/>
            </w:tcBorders>
          </w:tcPr>
          <w:p w:rsidR="00D552DE" w:rsidRDefault="00531FEA">
            <w:pPr>
              <w:spacing w:line="288" w:lineRule="auto"/>
            </w:pPr>
            <w:hyperlink r:id="rId12">
              <w:r>
                <w:rPr>
                  <w:color w:val="1155CC"/>
                  <w:u w:val="single"/>
                </w:rPr>
                <w:t>Dr. Nadejda Tsankova</w:t>
              </w:r>
            </w:hyperlink>
          </w:p>
          <w:p w:rsidR="00D552DE" w:rsidRDefault="00531FEA">
            <w:pPr>
              <w:spacing w:line="288" w:lineRule="auto"/>
            </w:pPr>
            <w:hyperlink r:id="rId13">
              <w:r>
                <w:rPr>
                  <w:color w:val="1155CC"/>
                  <w:u w:val="single"/>
                </w:rPr>
                <w:t>Dr. Jose Otero</w:t>
              </w:r>
            </w:hyperlink>
          </w:p>
          <w:p w:rsidR="00D552DE" w:rsidRDefault="00531FEA">
            <w:pPr>
              <w:spacing w:line="288" w:lineRule="auto"/>
            </w:pPr>
            <w:hyperlink r:id="rId14">
              <w:r>
                <w:rPr>
                  <w:color w:val="1155CC"/>
                  <w:u w:val="single"/>
                </w:rPr>
                <w:t>Dr. Elizabeth Gerstner</w:t>
              </w:r>
            </w:hyperlink>
          </w:p>
          <w:p w:rsidR="00D552DE" w:rsidRDefault="00531FEA">
            <w:pPr>
              <w:spacing w:line="288" w:lineRule="auto"/>
            </w:pPr>
            <w:r>
              <w:t>Joel Saltz</w:t>
            </w:r>
          </w:p>
          <w:p w:rsidR="00D552DE" w:rsidRDefault="00531FEA">
            <w:pPr>
              <w:spacing w:line="288" w:lineRule="auto"/>
            </w:pPr>
            <w:r>
              <w:t>Jayashree Kalpathy-Cramer</w:t>
            </w:r>
          </w:p>
          <w:p w:rsidR="00D552DE" w:rsidRDefault="00531FEA">
            <w:pPr>
              <w:spacing w:line="288" w:lineRule="auto"/>
            </w:pPr>
            <w:r>
              <w:t>Metin Gurcan</w:t>
            </w:r>
          </w:p>
        </w:tc>
      </w:tr>
      <w:tr w:rsidR="00D552DE">
        <w:tc>
          <w:tcPr>
            <w:tcW w:w="1455" w:type="dxa"/>
            <w:tcBorders>
              <w:top w:val="single" w:sz="6" w:space="0" w:color="000000"/>
              <w:left w:val="single" w:sz="6" w:space="0" w:color="000000"/>
              <w:bottom w:val="single" w:sz="6" w:space="0" w:color="000000"/>
              <w:right w:val="single" w:sz="6" w:space="0" w:color="000000"/>
            </w:tcBorders>
          </w:tcPr>
          <w:p w:rsidR="00D552DE" w:rsidRDefault="00531FEA">
            <w:pPr>
              <w:spacing w:line="288" w:lineRule="auto"/>
              <w:rPr>
                <w:sz w:val="24"/>
                <w:szCs w:val="24"/>
              </w:rPr>
            </w:pPr>
            <w:r>
              <w:rPr>
                <w:sz w:val="24"/>
                <w:szCs w:val="24"/>
              </w:rPr>
              <w:lastRenderedPageBreak/>
              <w:t>3:00</w:t>
            </w:r>
          </w:p>
        </w:tc>
        <w:tc>
          <w:tcPr>
            <w:tcW w:w="4725" w:type="dxa"/>
            <w:tcBorders>
              <w:top w:val="single" w:sz="6" w:space="0" w:color="000000"/>
              <w:left w:val="single" w:sz="6" w:space="0" w:color="000000"/>
              <w:bottom w:val="single" w:sz="6" w:space="0" w:color="000000"/>
              <w:right w:val="single" w:sz="6" w:space="0" w:color="000000"/>
            </w:tcBorders>
          </w:tcPr>
          <w:p w:rsidR="00D552DE" w:rsidRDefault="00531FEA">
            <w:pPr>
              <w:spacing w:line="288" w:lineRule="auto"/>
              <w:rPr>
                <w:sz w:val="24"/>
                <w:szCs w:val="24"/>
              </w:rPr>
            </w:pPr>
            <w:r>
              <w:rPr>
                <w:sz w:val="24"/>
                <w:szCs w:val="24"/>
              </w:rPr>
              <w:t>Adjourn</w:t>
            </w:r>
          </w:p>
        </w:tc>
        <w:tc>
          <w:tcPr>
            <w:tcW w:w="2940" w:type="dxa"/>
            <w:tcBorders>
              <w:top w:val="single" w:sz="6" w:space="0" w:color="000000"/>
              <w:left w:val="single" w:sz="6" w:space="0" w:color="000000"/>
              <w:bottom w:val="single" w:sz="6" w:space="0" w:color="000000"/>
              <w:right w:val="single" w:sz="6" w:space="0" w:color="000000"/>
            </w:tcBorders>
          </w:tcPr>
          <w:p w:rsidR="00D552DE" w:rsidRDefault="00D552DE"/>
        </w:tc>
      </w:tr>
    </w:tbl>
    <w:p w:rsidR="00D552DE" w:rsidRDefault="00D552DE">
      <w:pPr>
        <w:spacing w:line="331" w:lineRule="auto"/>
      </w:pPr>
    </w:p>
    <w:p w:rsidR="00D552DE" w:rsidRDefault="00531FEA">
      <w:pPr>
        <w:spacing w:line="331" w:lineRule="auto"/>
        <w:rPr>
          <w:color w:val="FF0000"/>
          <w:sz w:val="24"/>
          <w:szCs w:val="24"/>
          <w:u w:val="single"/>
        </w:rPr>
      </w:pPr>
      <w:r>
        <w:rPr>
          <w:color w:val="FF0000"/>
          <w:sz w:val="24"/>
          <w:szCs w:val="24"/>
          <w:u w:val="single"/>
        </w:rPr>
        <w:t>When you join the meeting, please enter your name and institution below:</w:t>
      </w:r>
    </w:p>
    <w:p w:rsidR="00D552DE" w:rsidRDefault="00531FEA">
      <w:pPr>
        <w:spacing w:line="331" w:lineRule="auto"/>
        <w:rPr>
          <w:sz w:val="24"/>
          <w:szCs w:val="24"/>
        </w:rPr>
      </w:pPr>
      <w:r>
        <w:rPr>
          <w:sz w:val="24"/>
          <w:szCs w:val="24"/>
        </w:rPr>
        <w:t>Trey Ideker, UCSD</w:t>
      </w:r>
    </w:p>
    <w:p w:rsidR="00D552DE" w:rsidRDefault="00531FEA">
      <w:pPr>
        <w:spacing w:line="331" w:lineRule="auto"/>
        <w:rPr>
          <w:sz w:val="24"/>
          <w:szCs w:val="24"/>
        </w:rPr>
      </w:pPr>
      <w:r>
        <w:rPr>
          <w:sz w:val="24"/>
          <w:szCs w:val="24"/>
        </w:rPr>
        <w:t>Thomas G. Doak, Indiana/NCGAS</w:t>
      </w:r>
    </w:p>
    <w:p w:rsidR="00D552DE" w:rsidRDefault="00531FEA">
      <w:pPr>
        <w:spacing w:line="331" w:lineRule="auto"/>
        <w:rPr>
          <w:sz w:val="24"/>
          <w:szCs w:val="24"/>
        </w:rPr>
      </w:pPr>
      <w:r>
        <w:rPr>
          <w:sz w:val="24"/>
          <w:szCs w:val="24"/>
        </w:rPr>
        <w:lastRenderedPageBreak/>
        <w:t>Juli Klemm, NCI</w:t>
      </w:r>
    </w:p>
    <w:p w:rsidR="00D552DE" w:rsidRDefault="00531FEA">
      <w:pPr>
        <w:spacing w:line="331" w:lineRule="auto"/>
        <w:rPr>
          <w:sz w:val="24"/>
          <w:szCs w:val="24"/>
        </w:rPr>
      </w:pPr>
      <w:r>
        <w:rPr>
          <w:sz w:val="24"/>
          <w:szCs w:val="24"/>
        </w:rPr>
        <w:t>Helen Parkinson, EBI</w:t>
      </w:r>
    </w:p>
    <w:p w:rsidR="00D552DE" w:rsidRDefault="00531FEA">
      <w:pPr>
        <w:spacing w:line="331" w:lineRule="auto"/>
        <w:rPr>
          <w:sz w:val="24"/>
          <w:szCs w:val="24"/>
          <w:u w:val="single"/>
        </w:rPr>
      </w:pPr>
      <w:r>
        <w:rPr>
          <w:sz w:val="24"/>
          <w:szCs w:val="24"/>
          <w:u w:val="single"/>
        </w:rPr>
        <w:t>Guoqian Jiang, Mayo Clinic</w:t>
      </w:r>
    </w:p>
    <w:p w:rsidR="00D552DE" w:rsidRDefault="00531FEA">
      <w:pPr>
        <w:spacing w:line="331" w:lineRule="auto"/>
        <w:rPr>
          <w:sz w:val="24"/>
          <w:szCs w:val="24"/>
        </w:rPr>
      </w:pPr>
      <w:r>
        <w:rPr>
          <w:sz w:val="24"/>
          <w:szCs w:val="24"/>
        </w:rPr>
        <w:t>Carol Bult, JAX</w:t>
      </w:r>
    </w:p>
    <w:p w:rsidR="00D552DE" w:rsidRDefault="00531FEA">
      <w:pPr>
        <w:spacing w:line="331" w:lineRule="auto"/>
        <w:rPr>
          <w:sz w:val="24"/>
          <w:szCs w:val="24"/>
        </w:rPr>
      </w:pPr>
      <w:r>
        <w:rPr>
          <w:sz w:val="24"/>
          <w:szCs w:val="24"/>
        </w:rPr>
        <w:t>Yi Qiao, University of Utah</w:t>
      </w:r>
    </w:p>
    <w:p w:rsidR="00D552DE" w:rsidRDefault="00531FEA">
      <w:pPr>
        <w:spacing w:line="331" w:lineRule="auto"/>
        <w:rPr>
          <w:sz w:val="24"/>
          <w:szCs w:val="24"/>
        </w:rPr>
      </w:pPr>
      <w:r>
        <w:rPr>
          <w:sz w:val="24"/>
          <w:szCs w:val="24"/>
        </w:rPr>
        <w:t>Jingshan Huang, South Alabama</w:t>
      </w:r>
    </w:p>
    <w:p w:rsidR="00D552DE" w:rsidRDefault="00531FEA">
      <w:pPr>
        <w:spacing w:line="331" w:lineRule="auto"/>
        <w:rPr>
          <w:sz w:val="24"/>
          <w:szCs w:val="24"/>
        </w:rPr>
      </w:pPr>
      <w:r>
        <w:rPr>
          <w:sz w:val="24"/>
          <w:szCs w:val="24"/>
        </w:rPr>
        <w:t>Martin Morgan, RPCI</w:t>
      </w:r>
    </w:p>
    <w:p w:rsidR="00D552DE" w:rsidRDefault="00531FEA">
      <w:pPr>
        <w:spacing w:line="331" w:lineRule="auto"/>
        <w:rPr>
          <w:sz w:val="24"/>
          <w:szCs w:val="24"/>
        </w:rPr>
      </w:pPr>
      <w:r>
        <w:rPr>
          <w:sz w:val="24"/>
          <w:szCs w:val="24"/>
        </w:rPr>
        <w:t>John Freymann, FNLCR</w:t>
      </w:r>
    </w:p>
    <w:p w:rsidR="00D552DE" w:rsidRDefault="00531FEA">
      <w:pPr>
        <w:spacing w:line="331" w:lineRule="auto"/>
        <w:rPr>
          <w:sz w:val="24"/>
          <w:szCs w:val="24"/>
        </w:rPr>
      </w:pPr>
      <w:r>
        <w:rPr>
          <w:sz w:val="24"/>
          <w:szCs w:val="24"/>
        </w:rPr>
        <w:t>Spyridon (Spyros) Bakas, University of Pennsylvania</w:t>
      </w:r>
    </w:p>
    <w:p w:rsidR="00D552DE" w:rsidRDefault="00531FEA">
      <w:pPr>
        <w:spacing w:line="331" w:lineRule="auto"/>
        <w:rPr>
          <w:sz w:val="24"/>
          <w:szCs w:val="24"/>
        </w:rPr>
      </w:pPr>
      <w:r>
        <w:rPr>
          <w:sz w:val="24"/>
          <w:szCs w:val="24"/>
        </w:rPr>
        <w:t>Izumi Hinkson, NCI</w:t>
      </w:r>
    </w:p>
    <w:p w:rsidR="00D552DE" w:rsidRDefault="00531FEA">
      <w:pPr>
        <w:spacing w:line="331" w:lineRule="auto"/>
        <w:rPr>
          <w:sz w:val="24"/>
          <w:szCs w:val="24"/>
        </w:rPr>
      </w:pPr>
      <w:r>
        <w:rPr>
          <w:sz w:val="24"/>
          <w:szCs w:val="24"/>
        </w:rPr>
        <w:t>Rachel Karchin, Johns Hopkins</w:t>
      </w:r>
    </w:p>
    <w:p w:rsidR="00D552DE" w:rsidRDefault="00531FEA">
      <w:pPr>
        <w:spacing w:line="331" w:lineRule="auto"/>
        <w:rPr>
          <w:sz w:val="24"/>
          <w:szCs w:val="24"/>
        </w:rPr>
      </w:pPr>
      <w:r>
        <w:rPr>
          <w:sz w:val="24"/>
          <w:szCs w:val="24"/>
        </w:rPr>
        <w:t>Miguel R Ossandon NCI</w:t>
      </w:r>
    </w:p>
    <w:p w:rsidR="00D552DE" w:rsidRDefault="00531FEA">
      <w:pPr>
        <w:spacing w:line="331" w:lineRule="auto"/>
        <w:rPr>
          <w:sz w:val="24"/>
          <w:szCs w:val="24"/>
        </w:rPr>
      </w:pPr>
      <w:r>
        <w:rPr>
          <w:sz w:val="24"/>
          <w:szCs w:val="24"/>
        </w:rPr>
        <w:t>Guergana Savova, BCH/HMS</w:t>
      </w:r>
    </w:p>
    <w:p w:rsidR="00D552DE" w:rsidRDefault="00531FEA">
      <w:pPr>
        <w:spacing w:line="331" w:lineRule="auto"/>
        <w:rPr>
          <w:sz w:val="24"/>
          <w:szCs w:val="24"/>
        </w:rPr>
      </w:pPr>
      <w:r>
        <w:rPr>
          <w:sz w:val="24"/>
          <w:szCs w:val="24"/>
        </w:rPr>
        <w:t>Rudi Pillich (NDEx), UCSD</w:t>
      </w:r>
    </w:p>
    <w:p w:rsidR="00D552DE" w:rsidRDefault="00531FEA">
      <w:pPr>
        <w:spacing w:line="331" w:lineRule="auto"/>
        <w:rPr>
          <w:sz w:val="24"/>
          <w:szCs w:val="24"/>
        </w:rPr>
      </w:pPr>
      <w:r>
        <w:rPr>
          <w:sz w:val="24"/>
          <w:szCs w:val="24"/>
        </w:rPr>
        <w:t>Grace Xiao,</w:t>
      </w:r>
      <w:r>
        <w:rPr>
          <w:sz w:val="24"/>
          <w:szCs w:val="24"/>
        </w:rPr>
        <w:t xml:space="preserve"> UCLA</w:t>
      </w:r>
    </w:p>
    <w:p w:rsidR="00D552DE" w:rsidRDefault="00531FEA">
      <w:pPr>
        <w:spacing w:line="331" w:lineRule="auto"/>
        <w:rPr>
          <w:sz w:val="24"/>
          <w:szCs w:val="24"/>
        </w:rPr>
      </w:pPr>
      <w:r>
        <w:rPr>
          <w:sz w:val="24"/>
          <w:szCs w:val="24"/>
        </w:rPr>
        <w:t>Lee Cooper, Emory</w:t>
      </w:r>
    </w:p>
    <w:p w:rsidR="00D552DE" w:rsidRDefault="00531FEA">
      <w:pPr>
        <w:spacing w:line="331" w:lineRule="auto"/>
        <w:rPr>
          <w:sz w:val="24"/>
          <w:szCs w:val="24"/>
        </w:rPr>
      </w:pPr>
      <w:r>
        <w:rPr>
          <w:sz w:val="24"/>
          <w:szCs w:val="24"/>
        </w:rPr>
        <w:t>Mary Goldman, UC Santa Cruz</w:t>
      </w:r>
    </w:p>
    <w:p w:rsidR="00D552DE" w:rsidRDefault="00531FEA">
      <w:pPr>
        <w:spacing w:line="331" w:lineRule="auto"/>
        <w:rPr>
          <w:sz w:val="24"/>
          <w:szCs w:val="24"/>
        </w:rPr>
      </w:pPr>
      <w:r>
        <w:rPr>
          <w:sz w:val="24"/>
          <w:szCs w:val="24"/>
        </w:rPr>
        <w:t>Jing Zhu, UC Santa Cruz</w:t>
      </w:r>
    </w:p>
    <w:p w:rsidR="00D552DE" w:rsidRDefault="00531FEA">
      <w:pPr>
        <w:spacing w:line="331" w:lineRule="auto"/>
        <w:rPr>
          <w:sz w:val="24"/>
          <w:szCs w:val="24"/>
        </w:rPr>
      </w:pPr>
      <w:r>
        <w:rPr>
          <w:sz w:val="24"/>
          <w:szCs w:val="24"/>
        </w:rPr>
        <w:t>Mervi Heiskanen, NCI</w:t>
      </w:r>
    </w:p>
    <w:p w:rsidR="00D552DE" w:rsidRDefault="00531FEA">
      <w:pPr>
        <w:spacing w:line="331" w:lineRule="auto"/>
        <w:rPr>
          <w:sz w:val="24"/>
          <w:szCs w:val="24"/>
        </w:rPr>
      </w:pPr>
      <w:r>
        <w:rPr>
          <w:sz w:val="24"/>
          <w:szCs w:val="24"/>
        </w:rPr>
        <w:t>Bradley Broom, UT MD Anderson Cancer Center</w:t>
      </w:r>
    </w:p>
    <w:p w:rsidR="00D552DE" w:rsidRDefault="00531FEA">
      <w:pPr>
        <w:spacing w:line="331" w:lineRule="auto"/>
        <w:rPr>
          <w:sz w:val="24"/>
          <w:szCs w:val="24"/>
        </w:rPr>
      </w:pPr>
      <w:r>
        <w:rPr>
          <w:sz w:val="24"/>
          <w:szCs w:val="24"/>
        </w:rPr>
        <w:t>Tim Griffin, U of Minnesota</w:t>
      </w:r>
    </w:p>
    <w:p w:rsidR="00D552DE" w:rsidRDefault="00531FEA">
      <w:pPr>
        <w:spacing w:line="331" w:lineRule="auto"/>
        <w:rPr>
          <w:sz w:val="24"/>
          <w:szCs w:val="24"/>
        </w:rPr>
      </w:pPr>
      <w:r>
        <w:rPr>
          <w:sz w:val="24"/>
          <w:szCs w:val="24"/>
        </w:rPr>
        <w:t>Dinler Antunes, Rice University</w:t>
      </w:r>
    </w:p>
    <w:p w:rsidR="00D552DE" w:rsidRDefault="00531FEA">
      <w:pPr>
        <w:spacing w:line="331" w:lineRule="auto"/>
        <w:rPr>
          <w:sz w:val="24"/>
          <w:szCs w:val="24"/>
        </w:rPr>
      </w:pPr>
      <w:r>
        <w:rPr>
          <w:sz w:val="24"/>
          <w:szCs w:val="24"/>
        </w:rPr>
        <w:t>Brian Haas, Broad Institute</w:t>
      </w:r>
    </w:p>
    <w:p w:rsidR="00D552DE" w:rsidRDefault="00531FEA">
      <w:pPr>
        <w:spacing w:line="331" w:lineRule="auto"/>
        <w:rPr>
          <w:sz w:val="24"/>
          <w:szCs w:val="24"/>
        </w:rPr>
      </w:pPr>
      <w:r>
        <w:rPr>
          <w:sz w:val="24"/>
          <w:szCs w:val="24"/>
        </w:rPr>
        <w:t>Joel Saltz Stony Brook</w:t>
      </w:r>
    </w:p>
    <w:p w:rsidR="00D552DE" w:rsidRDefault="00531FEA">
      <w:pPr>
        <w:spacing w:line="331" w:lineRule="auto"/>
        <w:rPr>
          <w:sz w:val="24"/>
          <w:szCs w:val="24"/>
        </w:rPr>
      </w:pPr>
      <w:r>
        <w:rPr>
          <w:sz w:val="24"/>
          <w:szCs w:val="24"/>
        </w:rPr>
        <w:t>Aaro</w:t>
      </w:r>
      <w:r>
        <w:rPr>
          <w:sz w:val="24"/>
          <w:szCs w:val="24"/>
        </w:rPr>
        <w:t>n Quinlan, U of Utah</w:t>
      </w:r>
    </w:p>
    <w:p w:rsidR="00D552DE" w:rsidRDefault="00531FEA">
      <w:pPr>
        <w:spacing w:line="331" w:lineRule="auto"/>
        <w:rPr>
          <w:sz w:val="24"/>
          <w:szCs w:val="24"/>
        </w:rPr>
      </w:pPr>
      <w:r>
        <w:rPr>
          <w:sz w:val="24"/>
          <w:szCs w:val="24"/>
        </w:rPr>
        <w:t>Jose J Otero, Ohio State University</w:t>
      </w:r>
    </w:p>
    <w:p w:rsidR="00D552DE" w:rsidRDefault="00531FEA">
      <w:pPr>
        <w:spacing w:line="331" w:lineRule="auto"/>
        <w:rPr>
          <w:sz w:val="24"/>
          <w:szCs w:val="24"/>
        </w:rPr>
      </w:pPr>
      <w:r>
        <w:rPr>
          <w:sz w:val="24"/>
          <w:szCs w:val="24"/>
        </w:rPr>
        <w:t>Alex Krasnitz, CSHL</w:t>
      </w:r>
    </w:p>
    <w:p w:rsidR="00D552DE" w:rsidRDefault="00531FEA">
      <w:pPr>
        <w:spacing w:line="331" w:lineRule="auto"/>
        <w:rPr>
          <w:sz w:val="24"/>
          <w:szCs w:val="24"/>
        </w:rPr>
      </w:pPr>
      <w:r>
        <w:rPr>
          <w:sz w:val="24"/>
          <w:szCs w:val="24"/>
        </w:rPr>
        <w:t>Malachi Griffith, WASHU</w:t>
      </w:r>
    </w:p>
    <w:p w:rsidR="00D552DE" w:rsidRDefault="00531FEA">
      <w:pPr>
        <w:spacing w:line="331" w:lineRule="auto"/>
        <w:rPr>
          <w:sz w:val="24"/>
          <w:szCs w:val="24"/>
        </w:rPr>
      </w:pPr>
      <w:r>
        <w:rPr>
          <w:sz w:val="24"/>
          <w:szCs w:val="24"/>
        </w:rPr>
        <w:t>Obi Griffith, WashU</w:t>
      </w:r>
    </w:p>
    <w:p w:rsidR="00D552DE" w:rsidRDefault="00531FEA">
      <w:pPr>
        <w:spacing w:line="331" w:lineRule="auto"/>
        <w:rPr>
          <w:sz w:val="24"/>
          <w:szCs w:val="24"/>
        </w:rPr>
      </w:pPr>
      <w:r>
        <w:rPr>
          <w:sz w:val="24"/>
          <w:szCs w:val="24"/>
        </w:rPr>
        <w:t>Jill Mesirov, UCSD</w:t>
      </w:r>
    </w:p>
    <w:p w:rsidR="00D552DE" w:rsidRDefault="00531FEA">
      <w:pPr>
        <w:spacing w:line="331" w:lineRule="auto"/>
        <w:rPr>
          <w:sz w:val="24"/>
          <w:szCs w:val="24"/>
        </w:rPr>
      </w:pPr>
      <w:r>
        <w:rPr>
          <w:sz w:val="24"/>
          <w:szCs w:val="24"/>
        </w:rPr>
        <w:t>Helga Thorvaldsdottir, Broad</w:t>
      </w:r>
    </w:p>
    <w:p w:rsidR="00D552DE" w:rsidRDefault="00531FEA">
      <w:pPr>
        <w:spacing w:line="331" w:lineRule="auto"/>
        <w:rPr>
          <w:sz w:val="24"/>
          <w:szCs w:val="24"/>
        </w:rPr>
      </w:pPr>
      <w:r>
        <w:rPr>
          <w:sz w:val="24"/>
          <w:szCs w:val="24"/>
        </w:rPr>
        <w:t>Xiaomeng Huang, University of Utah</w:t>
      </w:r>
    </w:p>
    <w:p w:rsidR="00D552DE" w:rsidRDefault="00531FEA">
      <w:pPr>
        <w:spacing w:line="331" w:lineRule="auto"/>
        <w:rPr>
          <w:sz w:val="24"/>
          <w:szCs w:val="24"/>
        </w:rPr>
      </w:pPr>
      <w:r>
        <w:rPr>
          <w:sz w:val="24"/>
          <w:szCs w:val="24"/>
        </w:rPr>
        <w:t>Anne Martel, sunnybrook Research Institute</w:t>
      </w:r>
    </w:p>
    <w:p w:rsidR="00D552DE" w:rsidRDefault="00531FEA">
      <w:pPr>
        <w:spacing w:line="331" w:lineRule="auto"/>
        <w:rPr>
          <w:sz w:val="24"/>
          <w:szCs w:val="24"/>
        </w:rPr>
      </w:pPr>
      <w:r>
        <w:rPr>
          <w:sz w:val="24"/>
          <w:szCs w:val="24"/>
        </w:rPr>
        <w:t>Andrey Fedorov, BWH/HMS</w:t>
      </w:r>
    </w:p>
    <w:p w:rsidR="00D552DE" w:rsidRDefault="00531FEA">
      <w:pPr>
        <w:spacing w:line="331" w:lineRule="auto"/>
        <w:rPr>
          <w:sz w:val="24"/>
          <w:szCs w:val="24"/>
        </w:rPr>
      </w:pPr>
      <w:r>
        <w:rPr>
          <w:sz w:val="24"/>
          <w:szCs w:val="24"/>
        </w:rPr>
        <w:lastRenderedPageBreak/>
        <w:t>Han Liang, MD Anderson</w:t>
      </w:r>
    </w:p>
    <w:p w:rsidR="00D552DE" w:rsidRDefault="00531FEA">
      <w:pPr>
        <w:spacing w:line="331" w:lineRule="auto"/>
        <w:rPr>
          <w:sz w:val="24"/>
          <w:szCs w:val="24"/>
        </w:rPr>
      </w:pPr>
      <w:r>
        <w:rPr>
          <w:sz w:val="24"/>
          <w:szCs w:val="24"/>
        </w:rPr>
        <w:t>Betsy Hsu, NCI</w:t>
      </w:r>
    </w:p>
    <w:p w:rsidR="00D552DE" w:rsidRDefault="00531FEA">
      <w:pPr>
        <w:spacing w:line="331" w:lineRule="auto"/>
        <w:rPr>
          <w:sz w:val="24"/>
          <w:szCs w:val="24"/>
        </w:rPr>
      </w:pPr>
      <w:r>
        <w:rPr>
          <w:sz w:val="24"/>
          <w:szCs w:val="24"/>
        </w:rPr>
        <w:t>Nathalie Pochet, BWH/HMS/Broad</w:t>
      </w:r>
    </w:p>
    <w:p w:rsidR="00D552DE" w:rsidRDefault="00D552DE">
      <w:pPr>
        <w:spacing w:line="331" w:lineRule="auto"/>
        <w:rPr>
          <w:sz w:val="24"/>
          <w:szCs w:val="24"/>
        </w:rPr>
      </w:pPr>
    </w:p>
    <w:p w:rsidR="00D552DE" w:rsidRDefault="00531FEA">
      <w:pPr>
        <w:spacing w:line="331" w:lineRule="auto"/>
        <w:rPr>
          <w:sz w:val="24"/>
          <w:szCs w:val="24"/>
        </w:rPr>
      </w:pPr>
      <w:r>
        <w:rPr>
          <w:sz w:val="24"/>
          <w:szCs w:val="24"/>
        </w:rPr>
        <w:t>ITCR Twitter Handle: #nciitcr</w:t>
      </w:r>
    </w:p>
    <w:p w:rsidR="00D552DE" w:rsidRDefault="00531FEA">
      <w:pPr>
        <w:spacing w:line="331" w:lineRule="auto"/>
        <w:rPr>
          <w:sz w:val="24"/>
          <w:szCs w:val="24"/>
        </w:rPr>
      </w:pPr>
      <w:r>
        <w:rPr>
          <w:sz w:val="24"/>
          <w:szCs w:val="24"/>
        </w:rPr>
        <w:t xml:space="preserve">Website: </w:t>
      </w:r>
      <w:hyperlink r:id="rId15">
        <w:r>
          <w:rPr>
            <w:color w:val="1155CC"/>
            <w:sz w:val="24"/>
            <w:szCs w:val="24"/>
            <w:u w:val="single"/>
          </w:rPr>
          <w:t>http://itcr.nci.nih.gov</w:t>
        </w:r>
      </w:hyperlink>
      <w:r>
        <w:rPr>
          <w:sz w:val="24"/>
          <w:szCs w:val="24"/>
        </w:rPr>
        <w:t xml:space="preserve"> </w:t>
      </w:r>
    </w:p>
    <w:p w:rsidR="00D552DE" w:rsidRDefault="00531FEA">
      <w:pPr>
        <w:spacing w:line="331" w:lineRule="auto"/>
        <w:rPr>
          <w:sz w:val="24"/>
          <w:szCs w:val="24"/>
        </w:rPr>
      </w:pPr>
      <w:r>
        <w:rPr>
          <w:sz w:val="24"/>
          <w:szCs w:val="24"/>
        </w:rPr>
        <w:t>ITCR Meeting</w:t>
      </w:r>
      <w:r>
        <w:rPr>
          <w:sz w:val="24"/>
          <w:szCs w:val="24"/>
        </w:rPr>
        <w:t xml:space="preserve"> Materials, Schedules, and other Resources: </w:t>
      </w:r>
      <w:hyperlink r:id="rId16">
        <w:r>
          <w:rPr>
            <w:color w:val="1155CC"/>
            <w:sz w:val="24"/>
            <w:szCs w:val="24"/>
            <w:u w:val="single"/>
          </w:rPr>
          <w:t>https://nciphub.org/groups/itcr</w:t>
        </w:r>
      </w:hyperlink>
    </w:p>
    <w:p w:rsidR="00D552DE" w:rsidRDefault="00531FEA">
      <w:pPr>
        <w:spacing w:line="331" w:lineRule="auto"/>
        <w:rPr>
          <w:color w:val="FF0000"/>
          <w:sz w:val="24"/>
          <w:szCs w:val="24"/>
          <w:u w:val="single"/>
        </w:rPr>
      </w:pPr>
      <w:r>
        <w:rPr>
          <w:sz w:val="24"/>
          <w:szCs w:val="24"/>
        </w:rPr>
        <w:t xml:space="preserve">GoogleDocs for past meetings: </w:t>
      </w:r>
      <w:hyperlink r:id="rId17">
        <w:r>
          <w:rPr>
            <w:color w:val="1155CC"/>
            <w:sz w:val="24"/>
            <w:szCs w:val="24"/>
            <w:u w:val="single"/>
          </w:rPr>
          <w:t>https://driv</w:t>
        </w:r>
        <w:r>
          <w:rPr>
            <w:color w:val="1155CC"/>
            <w:sz w:val="24"/>
            <w:szCs w:val="24"/>
            <w:u w:val="single"/>
          </w:rPr>
          <w:t>e.google.com/drive/folders/0BzGsmNN8MvZqeWViY0xCMmRMTDQ</w:t>
        </w:r>
      </w:hyperlink>
    </w:p>
    <w:sectPr w:rsidR="00D552D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07DEB"/>
    <w:multiLevelType w:val="multilevel"/>
    <w:tmpl w:val="FA148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5554A0"/>
    <w:multiLevelType w:val="multilevel"/>
    <w:tmpl w:val="A356B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3B5B4E"/>
    <w:multiLevelType w:val="multilevel"/>
    <w:tmpl w:val="02467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DE"/>
    <w:rsid w:val="00531FEA"/>
    <w:rsid w:val="00D5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484A52D-298F-D141-878F-B73D4F16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rants.nih.gov/grants/guide/pa-files/PA-17-143.html" TargetMode="External"/><Relationship Id="rId13" Type="http://schemas.openxmlformats.org/officeDocument/2006/relationships/hyperlink" Target="https://wexnermedical.osu.edu/neurological-institute/researchers/jose-otero-md-ph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nts.nih.gov/grants/guide/pa-files/PA-17-243.html" TargetMode="External"/><Relationship Id="rId12" Type="http://schemas.openxmlformats.org/officeDocument/2006/relationships/hyperlink" Target="http://labs.icahn.mssm.edu/tsankovalab/" TargetMode="External"/><Relationship Id="rId17" Type="http://schemas.openxmlformats.org/officeDocument/2006/relationships/hyperlink" Target="https://drive.google.com/drive/folders/0BzGsmNN8MvZqeWViY0xCMmRMTDQ" TargetMode="External"/><Relationship Id="rId2" Type="http://schemas.openxmlformats.org/officeDocument/2006/relationships/styles" Target="styles.xml"/><Relationship Id="rId16" Type="http://schemas.openxmlformats.org/officeDocument/2006/relationships/hyperlink" Target="https://nciphub.org/groups/itcr" TargetMode="External"/><Relationship Id="rId1" Type="http://schemas.openxmlformats.org/officeDocument/2006/relationships/numbering" Target="numbering.xml"/><Relationship Id="rId6" Type="http://schemas.openxmlformats.org/officeDocument/2006/relationships/hyperlink" Target="https://itcr.soe.ucsc.edu" TargetMode="External"/><Relationship Id="rId11" Type="http://schemas.openxmlformats.org/officeDocument/2006/relationships/hyperlink" Target="https://ivygap.swedish.org/home" TargetMode="External"/><Relationship Id="rId5" Type="http://schemas.openxmlformats.org/officeDocument/2006/relationships/hyperlink" Target="https://cbiit.webex.com/cbiit/j.php?MTID=m792e8a3829c3ac67ea17f080bd5247c5" TargetMode="External"/><Relationship Id="rId15" Type="http://schemas.openxmlformats.org/officeDocument/2006/relationships/hyperlink" Target="http://itcr.nci.nih.gov" TargetMode="External"/><Relationship Id="rId10" Type="http://schemas.openxmlformats.org/officeDocument/2006/relationships/hyperlink" Target="http://glioblastoma.alleninstitut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ciphub.org/groups/itcr/File:TCIASept2016.pdf" TargetMode="External"/><Relationship Id="rId14" Type="http://schemas.openxmlformats.org/officeDocument/2006/relationships/hyperlink" Target="https://connects.catalyst.harvard.edu/Profiles/display/Person/38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819</Words>
  <Characters>4671</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Heiskanen, Mervi (NIH/NCI) [E]</cp:lastModifiedBy>
  <cp:revision>2</cp:revision>
  <dcterms:created xsi:type="dcterms:W3CDTF">2019-01-10T18:58:00Z</dcterms:created>
  <dcterms:modified xsi:type="dcterms:W3CDTF">2019-01-10T18:58:00Z</dcterms:modified>
</cp:coreProperties>
</file>