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C8" w:rsidRDefault="00FD49C8">
      <w:pPr>
        <w:pStyle w:val="Title"/>
        <w:spacing w:line="331" w:lineRule="auto"/>
        <w:jc w:val="center"/>
      </w:pPr>
      <w:bookmarkStart w:id="0" w:name="_qw6yu0us8vkc" w:colFirst="0" w:colLast="0"/>
      <w:bookmarkStart w:id="1" w:name="_GoBack"/>
      <w:bookmarkEnd w:id="0"/>
      <w:bookmarkEnd w:id="1"/>
    </w:p>
    <w:p w:rsidR="00FD49C8" w:rsidRDefault="00E23CB8">
      <w:pPr>
        <w:pStyle w:val="Title"/>
        <w:spacing w:line="331" w:lineRule="auto"/>
        <w:jc w:val="center"/>
      </w:pPr>
      <w:bookmarkStart w:id="2" w:name="_o69etjjikq5s" w:colFirst="0" w:colLast="0"/>
      <w:bookmarkEnd w:id="2"/>
      <w:r>
        <w:t>ITCR Monthly Meeting</w:t>
      </w:r>
    </w:p>
    <w:p w:rsidR="00FD49C8" w:rsidRDefault="00E23CB8">
      <w:pPr>
        <w:spacing w:line="331" w:lineRule="auto"/>
        <w:jc w:val="center"/>
      </w:pPr>
      <w:r>
        <w:t>March 2, 2018</w:t>
      </w:r>
    </w:p>
    <w:p w:rsidR="00FD49C8" w:rsidRDefault="00E23CB8">
      <w:pPr>
        <w:spacing w:line="331" w:lineRule="auto"/>
        <w:jc w:val="center"/>
      </w:pPr>
      <w:r>
        <w:t>2:00 - 3:00 pm ET</w:t>
      </w:r>
    </w:p>
    <w:p w:rsidR="00FD49C8" w:rsidRDefault="00FD49C8">
      <w:pPr>
        <w:spacing w:line="331" w:lineRule="auto"/>
        <w:jc w:val="center"/>
      </w:pPr>
    </w:p>
    <w:p w:rsidR="00FD49C8" w:rsidRDefault="00E23CB8">
      <w:pPr>
        <w:spacing w:line="331" w:lineRule="auto"/>
        <w:rPr>
          <w:sz w:val="28"/>
          <w:szCs w:val="28"/>
        </w:rPr>
      </w:pPr>
      <w:hyperlink r:id="rId4">
        <w:r>
          <w:rPr>
            <w:color w:val="1155CC"/>
            <w:sz w:val="28"/>
            <w:szCs w:val="28"/>
            <w:u w:val="single"/>
          </w:rPr>
          <w:t>Join the WebEx Meeting</w:t>
        </w:r>
      </w:hyperlink>
    </w:p>
    <w:p w:rsidR="00FD49C8" w:rsidRDefault="00E23CB8">
      <w:pPr>
        <w:spacing w:line="331" w:lineRule="auto"/>
      </w:pPr>
      <w:r>
        <w:t>Join by phone:</w:t>
      </w:r>
    </w:p>
    <w:p w:rsidR="00FD49C8" w:rsidRDefault="00E23CB8">
      <w:pPr>
        <w:spacing w:line="331" w:lineRule="auto"/>
        <w:rPr>
          <w:sz w:val="21"/>
          <w:szCs w:val="21"/>
          <w:highlight w:val="white"/>
        </w:rPr>
      </w:pPr>
      <w:r>
        <w:rPr>
          <w:sz w:val="21"/>
          <w:szCs w:val="21"/>
          <w:highlight w:val="white"/>
        </w:rPr>
        <w:t xml:space="preserve">1-650-479-3207 Call-in toll number </w:t>
      </w:r>
    </w:p>
    <w:p w:rsidR="00FD49C8" w:rsidRDefault="00E23CB8">
      <w:pPr>
        <w:spacing w:line="331" w:lineRule="auto"/>
        <w:rPr>
          <w:sz w:val="21"/>
          <w:szCs w:val="21"/>
          <w:highlight w:val="white"/>
        </w:rPr>
      </w:pPr>
      <w:r>
        <w:rPr>
          <w:sz w:val="23"/>
          <w:szCs w:val="23"/>
        </w:rPr>
        <w:t xml:space="preserve">Access code: 738 170 557 </w:t>
      </w:r>
    </w:p>
    <w:p w:rsidR="00FD49C8" w:rsidRDefault="00FD49C8">
      <w:pPr>
        <w:spacing w:line="331" w:lineRule="auto"/>
      </w:pPr>
    </w:p>
    <w:p w:rsidR="00FD49C8" w:rsidRDefault="00E23CB8">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FD49C8" w:rsidRDefault="00E23CB8">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FD49C8" w:rsidRDefault="00FD49C8">
      <w:pPr>
        <w:rPr>
          <w:i/>
          <w:sz w:val="24"/>
          <w:szCs w:val="24"/>
        </w:rPr>
      </w:pPr>
    </w:p>
    <w:p w:rsidR="00FD49C8" w:rsidRDefault="00E23CB8">
      <w:pPr>
        <w:rPr>
          <w:b/>
          <w:sz w:val="24"/>
          <w:szCs w:val="24"/>
        </w:rPr>
      </w:pPr>
      <w:r>
        <w:rPr>
          <w:sz w:val="24"/>
          <w:szCs w:val="24"/>
        </w:rPr>
        <w:t>Agenda</w:t>
      </w:r>
    </w:p>
    <w:p w:rsidR="00FD49C8" w:rsidRDefault="00FD49C8">
      <w:pPr>
        <w:rPr>
          <w:sz w:val="24"/>
          <w:szCs w:val="24"/>
        </w:rPr>
      </w:pPr>
    </w:p>
    <w:tbl>
      <w:tblPr>
        <w:tblStyle w:val="a"/>
        <w:tblW w:w="9120" w:type="dxa"/>
        <w:tblInd w:w="100" w:type="dxa"/>
        <w:tblLayout w:type="fixed"/>
        <w:tblLook w:val="0600" w:firstRow="0" w:lastRow="0" w:firstColumn="0" w:lastColumn="0" w:noHBand="1" w:noVBand="1"/>
      </w:tblPr>
      <w:tblGrid>
        <w:gridCol w:w="1755"/>
        <w:gridCol w:w="4635"/>
        <w:gridCol w:w="2730"/>
      </w:tblGrid>
      <w:tr w:rsidR="00FD49C8">
        <w:trPr>
          <w:trHeight w:val="660"/>
        </w:trPr>
        <w:tc>
          <w:tcPr>
            <w:tcW w:w="175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2:00 - 2:05</w:t>
            </w:r>
          </w:p>
        </w:tc>
        <w:tc>
          <w:tcPr>
            <w:tcW w:w="463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b/>
                <w:sz w:val="24"/>
                <w:szCs w:val="24"/>
              </w:rPr>
            </w:pPr>
            <w:r>
              <w:rPr>
                <w:b/>
                <w:sz w:val="24"/>
                <w:szCs w:val="24"/>
              </w:rPr>
              <w:t>General Updates</w:t>
            </w:r>
          </w:p>
          <w:p w:rsidR="00FD49C8" w:rsidRDefault="00FD49C8">
            <w:pPr>
              <w:spacing w:line="288" w:lineRule="auto"/>
              <w:rPr>
                <w:sz w:val="24"/>
                <w:szCs w:val="24"/>
              </w:rPr>
            </w:pPr>
          </w:p>
        </w:tc>
        <w:tc>
          <w:tcPr>
            <w:tcW w:w="2730"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Juli Klemm</w:t>
            </w:r>
          </w:p>
        </w:tc>
      </w:tr>
      <w:tr w:rsidR="00FD49C8">
        <w:trPr>
          <w:trHeight w:val="720"/>
        </w:trPr>
        <w:tc>
          <w:tcPr>
            <w:tcW w:w="175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2:05 - 2:15</w:t>
            </w:r>
          </w:p>
        </w:tc>
        <w:tc>
          <w:tcPr>
            <w:tcW w:w="4635" w:type="dxa"/>
            <w:tcBorders>
              <w:top w:val="single" w:sz="6" w:space="0" w:color="000000"/>
              <w:left w:val="single" w:sz="6" w:space="0" w:color="000000"/>
              <w:bottom w:val="single" w:sz="6" w:space="0" w:color="000000"/>
              <w:right w:val="single" w:sz="6" w:space="0" w:color="000000"/>
            </w:tcBorders>
          </w:tcPr>
          <w:p w:rsidR="00FD49C8" w:rsidRDefault="00E23CB8">
            <w:pPr>
              <w:rPr>
                <w:sz w:val="24"/>
                <w:szCs w:val="24"/>
              </w:rPr>
            </w:pPr>
            <w:r>
              <w:rPr>
                <w:sz w:val="24"/>
                <w:szCs w:val="24"/>
              </w:rPr>
              <w:t>ITCR 2018 Annual Meeting Overview</w:t>
            </w:r>
          </w:p>
          <w:p w:rsidR="00FD49C8" w:rsidRDefault="00FD49C8">
            <w:pPr>
              <w:rPr>
                <w:sz w:val="24"/>
                <w:szCs w:val="24"/>
              </w:rPr>
            </w:pPr>
          </w:p>
          <w:p w:rsidR="00FD49C8" w:rsidRDefault="00E23CB8">
            <w:pPr>
              <w:rPr>
                <w:sz w:val="24"/>
                <w:szCs w:val="24"/>
              </w:rPr>
            </w:pPr>
            <w:r>
              <w:rPr>
                <w:sz w:val="24"/>
                <w:szCs w:val="24"/>
              </w:rPr>
              <w:t>Registration site</w:t>
            </w:r>
          </w:p>
          <w:p w:rsidR="00FD49C8" w:rsidRDefault="00E23CB8">
            <w:pPr>
              <w:rPr>
                <w:sz w:val="24"/>
                <w:szCs w:val="24"/>
              </w:rPr>
            </w:pPr>
            <w:hyperlink r:id="rId5">
              <w:r>
                <w:rPr>
                  <w:color w:val="1155CC"/>
                  <w:sz w:val="24"/>
                  <w:szCs w:val="24"/>
                  <w:u w:val="single"/>
                </w:rPr>
                <w:t>https://www.eventbrite.com/e/informati</w:t>
              </w:r>
              <w:r>
                <w:rPr>
                  <w:color w:val="1155CC"/>
                  <w:sz w:val="24"/>
                  <w:szCs w:val="24"/>
                  <w:u w:val="single"/>
                </w:rPr>
                <w:t>cs-technology-for-cancer-research-itcr-annual-meeting-2018-registration-42875098574?utm_term=eventname_text</w:t>
              </w:r>
            </w:hyperlink>
            <w:r>
              <w:rPr>
                <w:sz w:val="24"/>
                <w:szCs w:val="24"/>
              </w:rPr>
              <w:t xml:space="preserve"> </w:t>
            </w:r>
          </w:p>
        </w:tc>
        <w:tc>
          <w:tcPr>
            <w:tcW w:w="2730"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pPr>
            <w:r>
              <w:t>Mervi Heiskanen</w:t>
            </w:r>
          </w:p>
        </w:tc>
      </w:tr>
      <w:tr w:rsidR="00FD49C8">
        <w:tc>
          <w:tcPr>
            <w:tcW w:w="175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2:15 - 2:45</w:t>
            </w:r>
          </w:p>
        </w:tc>
        <w:tc>
          <w:tcPr>
            <w:tcW w:w="4635" w:type="dxa"/>
            <w:tcBorders>
              <w:top w:val="single" w:sz="6" w:space="0" w:color="000000"/>
              <w:left w:val="single" w:sz="6" w:space="0" w:color="000000"/>
              <w:bottom w:val="single" w:sz="6" w:space="0" w:color="000000"/>
              <w:right w:val="single" w:sz="6" w:space="0" w:color="000000"/>
            </w:tcBorders>
          </w:tcPr>
          <w:p w:rsidR="00FD49C8" w:rsidRDefault="00E23CB8">
            <w:pPr>
              <w:rPr>
                <w:color w:val="333333"/>
                <w:sz w:val="24"/>
                <w:szCs w:val="24"/>
                <w:highlight w:val="white"/>
              </w:rPr>
            </w:pPr>
            <w:r>
              <w:rPr>
                <w:color w:val="333333"/>
                <w:sz w:val="24"/>
                <w:szCs w:val="24"/>
                <w:highlight w:val="white"/>
              </w:rPr>
              <w:t xml:space="preserve">Overview of CANDLE - </w:t>
            </w:r>
            <w:r>
              <w:rPr>
                <w:b/>
                <w:color w:val="333333"/>
                <w:sz w:val="24"/>
                <w:szCs w:val="24"/>
                <w:highlight w:val="white"/>
              </w:rPr>
              <w:t>Ca</w:t>
            </w:r>
            <w:r>
              <w:rPr>
                <w:color w:val="333333"/>
                <w:sz w:val="24"/>
                <w:szCs w:val="24"/>
                <w:highlight w:val="white"/>
              </w:rPr>
              <w:t xml:space="preserve">ncer </w:t>
            </w:r>
            <w:r>
              <w:rPr>
                <w:b/>
                <w:color w:val="333333"/>
                <w:sz w:val="24"/>
                <w:szCs w:val="24"/>
                <w:highlight w:val="white"/>
              </w:rPr>
              <w:t>D</w:t>
            </w:r>
            <w:r>
              <w:rPr>
                <w:color w:val="333333"/>
                <w:sz w:val="24"/>
                <w:szCs w:val="24"/>
                <w:highlight w:val="white"/>
              </w:rPr>
              <w:t xml:space="preserve">istributed </w:t>
            </w:r>
            <w:r>
              <w:rPr>
                <w:b/>
                <w:color w:val="333333"/>
                <w:sz w:val="24"/>
                <w:szCs w:val="24"/>
                <w:highlight w:val="white"/>
              </w:rPr>
              <w:t>L</w:t>
            </w:r>
            <w:r>
              <w:rPr>
                <w:color w:val="333333"/>
                <w:sz w:val="24"/>
                <w:szCs w:val="24"/>
                <w:highlight w:val="white"/>
              </w:rPr>
              <w:t xml:space="preserve">earning </w:t>
            </w:r>
            <w:r>
              <w:rPr>
                <w:b/>
                <w:color w:val="333333"/>
                <w:sz w:val="24"/>
                <w:szCs w:val="24"/>
                <w:highlight w:val="white"/>
              </w:rPr>
              <w:t>E</w:t>
            </w:r>
            <w:r>
              <w:rPr>
                <w:color w:val="333333"/>
                <w:sz w:val="24"/>
                <w:szCs w:val="24"/>
                <w:highlight w:val="white"/>
              </w:rPr>
              <w:t>nvironment</w:t>
            </w:r>
          </w:p>
          <w:p w:rsidR="00FD49C8" w:rsidRDefault="00E23CB8">
            <w:pPr>
              <w:rPr>
                <w:color w:val="333333"/>
                <w:sz w:val="24"/>
                <w:szCs w:val="24"/>
                <w:highlight w:val="white"/>
              </w:rPr>
            </w:pPr>
            <w:hyperlink r:id="rId6">
              <w:r>
                <w:rPr>
                  <w:color w:val="1155CC"/>
                  <w:sz w:val="24"/>
                  <w:szCs w:val="24"/>
                  <w:highlight w:val="white"/>
                  <w:u w:val="single"/>
                </w:rPr>
                <w:t>http://candle.cels.anl.gov</w:t>
              </w:r>
            </w:hyperlink>
            <w:r>
              <w:rPr>
                <w:color w:val="333333"/>
                <w:sz w:val="24"/>
                <w:szCs w:val="24"/>
                <w:highlight w:val="white"/>
              </w:rPr>
              <w:t xml:space="preserve"> </w:t>
            </w:r>
          </w:p>
          <w:p w:rsidR="00FD49C8" w:rsidRDefault="00E23CB8">
            <w:pPr>
              <w:rPr>
                <w:color w:val="333333"/>
                <w:sz w:val="24"/>
                <w:szCs w:val="24"/>
                <w:highlight w:val="white"/>
              </w:rPr>
            </w:pPr>
            <w:hyperlink r:id="rId7">
              <w:r>
                <w:rPr>
                  <w:color w:val="1155CC"/>
                  <w:sz w:val="24"/>
                  <w:szCs w:val="24"/>
                  <w:highlight w:val="white"/>
                  <w:u w:val="single"/>
                </w:rPr>
                <w:t>https://github.com/ECP-CANDLE</w:t>
              </w:r>
            </w:hyperlink>
            <w:r>
              <w:rPr>
                <w:color w:val="333333"/>
                <w:sz w:val="24"/>
                <w:szCs w:val="24"/>
                <w:highlight w:val="white"/>
              </w:rPr>
              <w:t xml:space="preserve"> </w:t>
            </w:r>
          </w:p>
        </w:tc>
        <w:tc>
          <w:tcPr>
            <w:tcW w:w="2730"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pPr>
            <w:r>
              <w:t>Eric Stahlberg, Leidos Biomedical Research</w:t>
            </w:r>
          </w:p>
        </w:tc>
      </w:tr>
      <w:tr w:rsidR="00FD49C8">
        <w:tc>
          <w:tcPr>
            <w:tcW w:w="1755" w:type="dxa"/>
            <w:tcBorders>
              <w:top w:val="single" w:sz="6" w:space="0" w:color="000000"/>
              <w:left w:val="single" w:sz="6" w:space="0" w:color="000000"/>
              <w:bottom w:val="single" w:sz="6" w:space="0" w:color="000000"/>
              <w:right w:val="single" w:sz="6" w:space="0" w:color="000000"/>
            </w:tcBorders>
          </w:tcPr>
          <w:p w:rsidR="00FD49C8" w:rsidRDefault="00FD49C8">
            <w:pPr>
              <w:spacing w:line="288" w:lineRule="auto"/>
              <w:rPr>
                <w:sz w:val="24"/>
                <w:szCs w:val="24"/>
              </w:rPr>
            </w:pPr>
          </w:p>
          <w:p w:rsidR="00FD49C8" w:rsidRDefault="00FD49C8">
            <w:pPr>
              <w:spacing w:line="288" w:lineRule="auto"/>
              <w:rPr>
                <w:sz w:val="24"/>
                <w:szCs w:val="24"/>
              </w:rPr>
            </w:pPr>
          </w:p>
          <w:p w:rsidR="00FD49C8" w:rsidRDefault="00FD49C8">
            <w:pPr>
              <w:spacing w:line="288" w:lineRule="auto"/>
              <w:rPr>
                <w:sz w:val="24"/>
                <w:szCs w:val="24"/>
              </w:rPr>
            </w:pPr>
          </w:p>
          <w:p w:rsidR="00FD49C8" w:rsidRDefault="00FD49C8">
            <w:pPr>
              <w:spacing w:line="288" w:lineRule="auto"/>
              <w:rPr>
                <w:sz w:val="24"/>
                <w:szCs w:val="24"/>
              </w:rPr>
            </w:pPr>
          </w:p>
          <w:p w:rsidR="00FD49C8" w:rsidRDefault="00E23CB8">
            <w:pPr>
              <w:spacing w:line="288" w:lineRule="auto"/>
              <w:rPr>
                <w:sz w:val="24"/>
                <w:szCs w:val="24"/>
              </w:rPr>
            </w:pPr>
            <w:r>
              <w:rPr>
                <w:sz w:val="24"/>
                <w:szCs w:val="24"/>
              </w:rPr>
              <w:t>2:45 - 2:55</w:t>
            </w:r>
          </w:p>
        </w:tc>
        <w:tc>
          <w:tcPr>
            <w:tcW w:w="4635" w:type="dxa"/>
            <w:tcBorders>
              <w:top w:val="single" w:sz="6" w:space="0" w:color="000000"/>
              <w:left w:val="single" w:sz="6" w:space="0" w:color="000000"/>
              <w:bottom w:val="single" w:sz="6" w:space="0" w:color="000000"/>
              <w:right w:val="single" w:sz="6" w:space="0" w:color="000000"/>
            </w:tcBorders>
          </w:tcPr>
          <w:p w:rsidR="00FD49C8" w:rsidRDefault="00E23CB8">
            <w:pPr>
              <w:rPr>
                <w:color w:val="333333"/>
                <w:sz w:val="24"/>
                <w:szCs w:val="24"/>
                <w:highlight w:val="white"/>
              </w:rPr>
            </w:pPr>
            <w:r>
              <w:rPr>
                <w:color w:val="333333"/>
                <w:sz w:val="24"/>
                <w:szCs w:val="24"/>
                <w:highlight w:val="white"/>
              </w:rPr>
              <w:t>Q &amp; A</w:t>
            </w:r>
          </w:p>
        </w:tc>
        <w:tc>
          <w:tcPr>
            <w:tcW w:w="2730" w:type="dxa"/>
            <w:tcBorders>
              <w:top w:val="single" w:sz="6" w:space="0" w:color="000000"/>
              <w:left w:val="single" w:sz="6" w:space="0" w:color="000000"/>
              <w:bottom w:val="single" w:sz="6" w:space="0" w:color="000000"/>
              <w:right w:val="single" w:sz="6" w:space="0" w:color="000000"/>
            </w:tcBorders>
          </w:tcPr>
          <w:p w:rsidR="00FD49C8" w:rsidRDefault="00FD49C8">
            <w:pPr>
              <w:spacing w:line="288" w:lineRule="auto"/>
            </w:pPr>
          </w:p>
        </w:tc>
      </w:tr>
      <w:tr w:rsidR="00FD49C8">
        <w:tc>
          <w:tcPr>
            <w:tcW w:w="175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3:00</w:t>
            </w:r>
          </w:p>
        </w:tc>
        <w:tc>
          <w:tcPr>
            <w:tcW w:w="4635" w:type="dxa"/>
            <w:tcBorders>
              <w:top w:val="single" w:sz="6" w:space="0" w:color="000000"/>
              <w:left w:val="single" w:sz="6" w:space="0" w:color="000000"/>
              <w:bottom w:val="single" w:sz="6" w:space="0" w:color="000000"/>
              <w:right w:val="single" w:sz="6" w:space="0" w:color="000000"/>
            </w:tcBorders>
          </w:tcPr>
          <w:p w:rsidR="00FD49C8" w:rsidRDefault="00E23CB8">
            <w:pPr>
              <w:spacing w:line="288" w:lineRule="auto"/>
              <w:rPr>
                <w:sz w:val="24"/>
                <w:szCs w:val="24"/>
              </w:rPr>
            </w:pPr>
            <w:r>
              <w:rPr>
                <w:sz w:val="24"/>
                <w:szCs w:val="24"/>
              </w:rPr>
              <w:t>Adjourn</w:t>
            </w:r>
          </w:p>
        </w:tc>
        <w:tc>
          <w:tcPr>
            <w:tcW w:w="2730" w:type="dxa"/>
            <w:tcBorders>
              <w:top w:val="single" w:sz="6" w:space="0" w:color="000000"/>
              <w:left w:val="single" w:sz="6" w:space="0" w:color="000000"/>
              <w:bottom w:val="single" w:sz="6" w:space="0" w:color="000000"/>
              <w:right w:val="single" w:sz="6" w:space="0" w:color="000000"/>
            </w:tcBorders>
          </w:tcPr>
          <w:p w:rsidR="00FD49C8" w:rsidRDefault="00FD49C8"/>
        </w:tc>
      </w:tr>
    </w:tbl>
    <w:p w:rsidR="00FD49C8" w:rsidRDefault="00FD49C8">
      <w:pPr>
        <w:spacing w:line="331" w:lineRule="auto"/>
      </w:pPr>
    </w:p>
    <w:p w:rsidR="00FD49C8" w:rsidRDefault="00E23CB8">
      <w:pPr>
        <w:spacing w:line="331" w:lineRule="auto"/>
      </w:pPr>
      <w:r>
        <w:t xml:space="preserve">Today’s slides are here: </w:t>
      </w:r>
      <w:hyperlink r:id="rId8">
        <w:r>
          <w:rPr>
            <w:color w:val="1155CC"/>
            <w:u w:val="single"/>
          </w:rPr>
          <w:t>https://nciphub.org/groups/itcr/monthly_pi_teleconferences</w:t>
        </w:r>
      </w:hyperlink>
      <w:r>
        <w:t xml:space="preserve"> </w:t>
      </w:r>
    </w:p>
    <w:p w:rsidR="00FD49C8" w:rsidRDefault="00FD49C8">
      <w:pPr>
        <w:spacing w:line="331" w:lineRule="auto"/>
      </w:pPr>
    </w:p>
    <w:p w:rsidR="00FD49C8" w:rsidRDefault="00E23CB8">
      <w:pPr>
        <w:spacing w:line="331" w:lineRule="auto"/>
        <w:rPr>
          <w:color w:val="FF0000"/>
          <w:sz w:val="24"/>
          <w:szCs w:val="24"/>
          <w:u w:val="single"/>
        </w:rPr>
      </w:pPr>
      <w:r>
        <w:rPr>
          <w:color w:val="FF0000"/>
          <w:sz w:val="24"/>
          <w:szCs w:val="24"/>
          <w:u w:val="single"/>
        </w:rPr>
        <w:t>When you join the meeting, please enter your name and institution below:</w:t>
      </w:r>
    </w:p>
    <w:p w:rsidR="00FD49C8" w:rsidRDefault="00E23CB8">
      <w:r>
        <w:t>Hiro Yoshida, MGH/H</w:t>
      </w:r>
      <w:r>
        <w:t>MS</w:t>
      </w:r>
    </w:p>
    <w:p w:rsidR="00FD49C8" w:rsidRDefault="00E23CB8">
      <w:r>
        <w:t>James Brown, MGH/HMS</w:t>
      </w:r>
    </w:p>
    <w:p w:rsidR="00FD49C8" w:rsidRDefault="00E23CB8">
      <w:r>
        <w:t>Fred Prior, UAMS</w:t>
      </w:r>
    </w:p>
    <w:p w:rsidR="00FD49C8" w:rsidRDefault="00E23CB8">
      <w:r>
        <w:t>Xiaodong Wu, UIowa</w:t>
      </w:r>
    </w:p>
    <w:p w:rsidR="00FD49C8" w:rsidRDefault="00E23CB8">
      <w:r>
        <w:t>Jingshan Huang, University of South Alabama</w:t>
      </w:r>
    </w:p>
    <w:p w:rsidR="00FD49C8" w:rsidRDefault="00E23CB8">
      <w:r>
        <w:t>Leah Mechanic, NCI</w:t>
      </w:r>
    </w:p>
    <w:p w:rsidR="00FD49C8" w:rsidRDefault="00E23CB8">
      <w:r>
        <w:t>Juli Klemm, NCI</w:t>
      </w:r>
    </w:p>
    <w:p w:rsidR="00FD49C8" w:rsidRDefault="00E23CB8">
      <w:r>
        <w:t>Dinler Antunes, Rice University</w:t>
      </w:r>
    </w:p>
    <w:p w:rsidR="00FD49C8" w:rsidRDefault="00E23CB8">
      <w:r>
        <w:t>Mervi Heiskanen, NCI</w:t>
      </w:r>
    </w:p>
    <w:p w:rsidR="00FD49C8" w:rsidRDefault="00E23CB8">
      <w:r>
        <w:t>Jerry Li, NCI</w:t>
      </w:r>
    </w:p>
    <w:p w:rsidR="00FD49C8" w:rsidRDefault="00E23CB8">
      <w:r>
        <w:t>Tim Griffin, U of Minnesota</w:t>
      </w:r>
    </w:p>
    <w:p w:rsidR="00FD49C8" w:rsidRDefault="00E23CB8">
      <w:r>
        <w:t>Joel Saltz, Stony Brook University</w:t>
      </w:r>
    </w:p>
    <w:p w:rsidR="00FD49C8" w:rsidRDefault="00E23CB8">
      <w:r>
        <w:t>Dongjun Chung (MUSC)</w:t>
      </w:r>
    </w:p>
    <w:p w:rsidR="00FD49C8" w:rsidRDefault="00E23CB8">
      <w:r>
        <w:t>Raja Mazumder (GW)</w:t>
      </w:r>
    </w:p>
    <w:p w:rsidR="00FD49C8" w:rsidRDefault="00E23CB8">
      <w:r>
        <w:t>David Hanauer, U of Michigan</w:t>
      </w:r>
    </w:p>
    <w:p w:rsidR="00FD49C8" w:rsidRDefault="00E23CB8">
      <w:r>
        <w:t>Guoqian Jiang (Mayo Clinic)</w:t>
      </w:r>
    </w:p>
    <w:p w:rsidR="00FD49C8" w:rsidRDefault="00E23CB8">
      <w:r>
        <w:t>Martin Morgan (Roswell Park)</w:t>
      </w:r>
    </w:p>
    <w:p w:rsidR="00FD49C8" w:rsidRDefault="00E23CB8">
      <w:r>
        <w:t>Andrey Fedorov (BWH/HMS)</w:t>
      </w:r>
    </w:p>
    <w:p w:rsidR="00FD49C8" w:rsidRDefault="00E23CB8">
      <w:r>
        <w:t>Brian Haas, Broad Institute</w:t>
      </w:r>
    </w:p>
    <w:p w:rsidR="00FD49C8" w:rsidRDefault="00E23CB8">
      <w:r>
        <w:t>Hayley Dingerd</w:t>
      </w:r>
      <w:r>
        <w:t>issen (GW)</w:t>
      </w:r>
    </w:p>
    <w:p w:rsidR="00FD49C8" w:rsidRDefault="00E23CB8">
      <w:r>
        <w:t>Nikolaus Schultz (MSKCC)</w:t>
      </w:r>
    </w:p>
    <w:p w:rsidR="00FD49C8" w:rsidRDefault="00E23CB8">
      <w:r>
        <w:t>Tyler Faits, Boston University</w:t>
      </w:r>
    </w:p>
    <w:p w:rsidR="00FD49C8" w:rsidRDefault="00E23CB8">
      <w:r>
        <w:t>Betsy Hsu, NCI</w:t>
      </w:r>
    </w:p>
    <w:p w:rsidR="00FD49C8" w:rsidRDefault="00E23CB8">
      <w:r>
        <w:t>Dan Crichton, JPL</w:t>
      </w:r>
    </w:p>
    <w:p w:rsidR="00FD49C8" w:rsidRDefault="00E23CB8">
      <w:r>
        <w:t>Nathalie Pochet, BWH/HMS/Broad</w:t>
      </w:r>
    </w:p>
    <w:p w:rsidR="00FD49C8" w:rsidRDefault="00E23CB8">
      <w:r>
        <w:t>Guilherme Del Fiol, University of Utah</w:t>
      </w:r>
    </w:p>
    <w:p w:rsidR="00FD49C8" w:rsidRDefault="00E23CB8">
      <w:r>
        <w:t>Jingchun Zhu, UC Santa Cruz</w:t>
      </w:r>
    </w:p>
    <w:p w:rsidR="00FD49C8" w:rsidRDefault="00E23CB8">
      <w:r>
        <w:t>Lydia Kavraki, Rice</w:t>
      </w:r>
    </w:p>
    <w:p w:rsidR="00FD49C8" w:rsidRDefault="00E23CB8">
      <w:r>
        <w:t>Helga Thorvaldsdottir (Broad Institute</w:t>
      </w:r>
      <w:r>
        <w:t>)</w:t>
      </w:r>
    </w:p>
    <w:p w:rsidR="00FD49C8" w:rsidRDefault="00E23CB8">
      <w:r>
        <w:t>Brigitte Raumann (University of Chicago)</w:t>
      </w:r>
    </w:p>
    <w:p w:rsidR="00FD49C8" w:rsidRDefault="00E23CB8">
      <w:r>
        <w:t>Vince Carey (Harvard)</w:t>
      </w:r>
    </w:p>
    <w:p w:rsidR="00FD49C8" w:rsidRDefault="00E23CB8">
      <w:r>
        <w:lastRenderedPageBreak/>
        <w:t>Simina Boca (Georgetown)</w:t>
      </w:r>
    </w:p>
    <w:p w:rsidR="00FD49C8" w:rsidRDefault="00E23CB8">
      <w:r>
        <w:t>Chris Sander (DFCI/HMS)</w:t>
      </w:r>
    </w:p>
    <w:p w:rsidR="00FD49C8" w:rsidRDefault="00E23CB8">
      <w:r>
        <w:t>Lee Cooper (Emory / GA Tech)</w:t>
      </w:r>
    </w:p>
    <w:p w:rsidR="00FD49C8" w:rsidRDefault="00E23CB8">
      <w:r>
        <w:t>Grace Xiao (UCLA)</w:t>
      </w:r>
    </w:p>
    <w:p w:rsidR="00FD49C8" w:rsidRDefault="00E23CB8">
      <w:r>
        <w:t>Han Liang (The University of Texas MD Anderson Cancer Center)</w:t>
      </w:r>
    </w:p>
    <w:p w:rsidR="00FD49C8" w:rsidRDefault="00E23CB8">
      <w:r>
        <w:t>Guergana Savova (Harvard/Boston Children’s Hospital)</w:t>
      </w:r>
    </w:p>
    <w:p w:rsidR="00FD49C8" w:rsidRDefault="00E23CB8">
      <w:r>
        <w:t>Malachi Griffith (WASHU)</w:t>
      </w:r>
    </w:p>
    <w:p w:rsidR="00FD49C8" w:rsidRDefault="00E23CB8">
      <w:r>
        <w:t>Chakra Chennubhotla (Pitt)</w:t>
      </w:r>
    </w:p>
    <w:p w:rsidR="00FD49C8" w:rsidRDefault="00E23CB8">
      <w:r>
        <w:t>Mary Goldman (UC Santa Cruz)</w:t>
      </w:r>
    </w:p>
    <w:p w:rsidR="00FD49C8" w:rsidRDefault="00E23CB8">
      <w:r>
        <w:t>Spyridon Bakas (University of Pennsylvania)</w:t>
      </w:r>
    </w:p>
    <w:p w:rsidR="00FD49C8" w:rsidRDefault="00E23CB8">
      <w:r>
        <w:t>Alex Krasnitz (C</w:t>
      </w:r>
      <w:r>
        <w:t>SHL)</w:t>
      </w:r>
    </w:p>
    <w:p w:rsidR="00FD49C8" w:rsidRDefault="00E23CB8">
      <w:r>
        <w:t>Aaron Quinlan (UU)</w:t>
      </w:r>
    </w:p>
    <w:p w:rsidR="00FD49C8" w:rsidRDefault="00E23CB8">
      <w:r>
        <w:t>Michael Reich (UCSD)</w:t>
      </w:r>
    </w:p>
    <w:p w:rsidR="00FD49C8" w:rsidRDefault="00E23CB8">
      <w:r>
        <w:t>Josh Stuart (UCSC)</w:t>
      </w:r>
    </w:p>
    <w:p w:rsidR="00FD49C8" w:rsidRDefault="00E23CB8">
      <w:r>
        <w:t>Yi Qiao (University of Utah)</w:t>
      </w:r>
    </w:p>
    <w:p w:rsidR="00FD49C8" w:rsidRDefault="00E23CB8">
      <w:r>
        <w:t>Bradley Broom, UT MD Anderson Cancer Center</w:t>
      </w:r>
    </w:p>
    <w:p w:rsidR="00FD49C8" w:rsidRDefault="00FD49C8"/>
    <w:p w:rsidR="00FD49C8" w:rsidRDefault="00E23CB8">
      <w:r>
        <w:t>_________________________________________</w:t>
      </w:r>
    </w:p>
    <w:p w:rsidR="00FD49C8" w:rsidRDefault="00FD49C8"/>
    <w:p w:rsidR="00FD49C8" w:rsidRDefault="00E23CB8">
      <w:pPr>
        <w:spacing w:line="331" w:lineRule="auto"/>
        <w:rPr>
          <w:sz w:val="24"/>
          <w:szCs w:val="24"/>
        </w:rPr>
      </w:pPr>
      <w:r>
        <w:rPr>
          <w:sz w:val="24"/>
          <w:szCs w:val="24"/>
        </w:rPr>
        <w:t>ITCR Twitter Handle: #nciitcr</w:t>
      </w:r>
    </w:p>
    <w:p w:rsidR="00FD49C8" w:rsidRDefault="00E23CB8">
      <w:pPr>
        <w:spacing w:line="331" w:lineRule="auto"/>
        <w:rPr>
          <w:sz w:val="24"/>
          <w:szCs w:val="24"/>
        </w:rPr>
      </w:pPr>
      <w:r>
        <w:rPr>
          <w:sz w:val="24"/>
          <w:szCs w:val="24"/>
        </w:rPr>
        <w:t xml:space="preserve">Website: </w:t>
      </w:r>
      <w:hyperlink r:id="rId9">
        <w:r>
          <w:rPr>
            <w:color w:val="1155CC"/>
            <w:sz w:val="24"/>
            <w:szCs w:val="24"/>
            <w:u w:val="single"/>
          </w:rPr>
          <w:t>https://itcr.cancer.gov</w:t>
        </w:r>
      </w:hyperlink>
      <w:r>
        <w:rPr>
          <w:sz w:val="24"/>
          <w:szCs w:val="24"/>
        </w:rPr>
        <w:t xml:space="preserve"> </w:t>
      </w:r>
    </w:p>
    <w:p w:rsidR="00FD49C8" w:rsidRDefault="00E23CB8">
      <w:pPr>
        <w:spacing w:line="331" w:lineRule="auto"/>
        <w:rPr>
          <w:sz w:val="24"/>
          <w:szCs w:val="24"/>
        </w:rPr>
      </w:pPr>
      <w:r>
        <w:rPr>
          <w:sz w:val="24"/>
          <w:szCs w:val="24"/>
        </w:rPr>
        <w:t xml:space="preserve">ITCR Meeting Materials, Schedules, and other Resources: </w:t>
      </w:r>
      <w:hyperlink r:id="rId10">
        <w:r>
          <w:rPr>
            <w:color w:val="1155CC"/>
            <w:sz w:val="24"/>
            <w:szCs w:val="24"/>
            <w:u w:val="single"/>
          </w:rPr>
          <w:t>https://nciphub.org/groups/itcr</w:t>
        </w:r>
      </w:hyperlink>
    </w:p>
    <w:p w:rsidR="00FD49C8" w:rsidRDefault="00E23CB8">
      <w:pPr>
        <w:spacing w:line="331" w:lineRule="auto"/>
        <w:rPr>
          <w:color w:val="FF0000"/>
          <w:sz w:val="24"/>
          <w:szCs w:val="24"/>
          <w:u w:val="single"/>
        </w:rPr>
      </w:pPr>
      <w:r>
        <w:rPr>
          <w:sz w:val="24"/>
          <w:szCs w:val="24"/>
        </w:rPr>
        <w:t xml:space="preserve">GoogleDocs for past meetings: </w:t>
      </w:r>
      <w:hyperlink r:id="rId11">
        <w:r>
          <w:rPr>
            <w:color w:val="1155CC"/>
            <w:sz w:val="24"/>
            <w:szCs w:val="24"/>
            <w:u w:val="single"/>
          </w:rPr>
          <w:t>https://drive.google.com/drive/folders/0BzGsmNN8MvZqeWViY0xCMmRMTDQ</w:t>
        </w:r>
      </w:hyperlink>
    </w:p>
    <w:p w:rsidR="00FD49C8" w:rsidRDefault="00FD49C8"/>
    <w:p w:rsidR="00FD49C8" w:rsidRDefault="00FD49C8"/>
    <w:p w:rsidR="00FD49C8" w:rsidRDefault="00FD49C8"/>
    <w:sectPr w:rsidR="00FD49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C8"/>
    <w:rsid w:val="00E23CB8"/>
    <w:rsid w:val="00FD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iphub.org/groups/itcr/monthly_pi_teleconferen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ithub.com/ECP-CAND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dle.cels.anl.gov" TargetMode="External"/><Relationship Id="rId11" Type="http://schemas.openxmlformats.org/officeDocument/2006/relationships/hyperlink" Target="https://drive.google.com/drive/folders/0BzGsmNN8MvZqeWViY0xCMmRMTDQ" TargetMode="External"/><Relationship Id="rId5" Type="http://schemas.openxmlformats.org/officeDocument/2006/relationships/hyperlink" Target="https://www.eventbrite.com/e/informatics-technology-for-cancer-research-itcr-annual-meeting-2018-registration-42875098574?utm_term=eventname_text" TargetMode="External"/><Relationship Id="rId10" Type="http://schemas.openxmlformats.org/officeDocument/2006/relationships/hyperlink" Target="https://nciphub.org/groups/itcr" TargetMode="External"/><Relationship Id="rId4" Type="http://schemas.openxmlformats.org/officeDocument/2006/relationships/hyperlink" Target="https://cbiit.webex.com/cbiit/j.php?MTID=m792e8a3829c3ac67ea17f080bd5247c5" TargetMode="External"/><Relationship Id="rId9" Type="http://schemas.openxmlformats.org/officeDocument/2006/relationships/hyperlink" Target="https://itcr.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2019-01-10T19:21:00Z</dcterms:created>
  <dcterms:modified xsi:type="dcterms:W3CDTF">2019-01-10T19:21:00Z</dcterms:modified>
</cp:coreProperties>
</file>