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38" w:rsidRDefault="00382B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920"/>
        <w:gridCol w:w="2610"/>
      </w:tblGrid>
      <w:tr w:rsidR="00382B38">
        <w:tc>
          <w:tcPr>
            <w:tcW w:w="183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2:00 - 2:05</w:t>
            </w:r>
          </w:p>
        </w:tc>
        <w:tc>
          <w:tcPr>
            <w:tcW w:w="492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Announcements</w:t>
            </w:r>
          </w:p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ITCR session at AACR</w:t>
              </w:r>
            </w:hyperlink>
          </w:p>
          <w:p w:rsidR="00382B38" w:rsidRDefault="0038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</w:t>
            </w:r>
          </w:p>
        </w:tc>
      </w:tr>
      <w:tr w:rsidR="00382B38">
        <w:tc>
          <w:tcPr>
            <w:tcW w:w="183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2:05 - 2:10</w:t>
            </w:r>
          </w:p>
        </w:tc>
        <w:tc>
          <w:tcPr>
            <w:tcW w:w="492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CI4CC Workshop</w:t>
              </w:r>
            </w:hyperlink>
            <w:r>
              <w:rPr>
                <w:sz w:val="24"/>
                <w:szCs w:val="24"/>
              </w:rPr>
              <w:t xml:space="preserve"> Overview</w:t>
            </w:r>
          </w:p>
        </w:tc>
        <w:tc>
          <w:tcPr>
            <w:tcW w:w="261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Goldman and Andrey Fedorov</w:t>
            </w:r>
          </w:p>
        </w:tc>
      </w:tr>
      <w:tr w:rsidR="00382B38">
        <w:tc>
          <w:tcPr>
            <w:tcW w:w="183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2:10 - 2:20</w:t>
            </w:r>
          </w:p>
        </w:tc>
        <w:tc>
          <w:tcPr>
            <w:tcW w:w="492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Updates from Technical Working Groups </w:t>
            </w:r>
          </w:p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https://nciphub.org/groups/itcr/itcr_idaa_wg</w:t>
              </w:r>
            </w:hyperlink>
          </w:p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https://nciphub.org/groups/itcr/containers_and_apis_wg_con</w:t>
              </w:r>
              <w:r>
                <w:rPr>
                  <w:color w:val="1155CC"/>
                  <w:sz w:val="24"/>
                  <w:szCs w:val="24"/>
                  <w:u w:val="single"/>
                </w:rPr>
                <w:t>ference_calls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82B38" w:rsidRDefault="0038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Jayashree Kalpathy-Cramer and Metin Gurcan</w:t>
            </w:r>
          </w:p>
        </w:tc>
      </w:tr>
      <w:tr w:rsidR="00382B38">
        <w:tc>
          <w:tcPr>
            <w:tcW w:w="183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2:20 - 3:00</w:t>
            </w:r>
          </w:p>
        </w:tc>
        <w:tc>
          <w:tcPr>
            <w:tcW w:w="492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GenomeSpace Presentation</w:t>
            </w:r>
          </w:p>
        </w:tc>
        <w:tc>
          <w:tcPr>
            <w:tcW w:w="261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Reich, UCSD</w:t>
            </w:r>
          </w:p>
        </w:tc>
      </w:tr>
      <w:tr w:rsidR="00382B38">
        <w:tc>
          <w:tcPr>
            <w:tcW w:w="183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4920" w:type="dxa"/>
          </w:tcPr>
          <w:p w:rsidR="00382B38" w:rsidRDefault="001A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610" w:type="dxa"/>
          </w:tcPr>
          <w:p w:rsidR="00382B38" w:rsidRDefault="0038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82B38" w:rsidRDefault="00382B38">
      <w:pPr>
        <w:pBdr>
          <w:top w:val="nil"/>
          <w:left w:val="nil"/>
          <w:bottom w:val="nil"/>
          <w:right w:val="nil"/>
          <w:between w:val="nil"/>
        </w:pBdr>
      </w:pP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Meeting agendas/notes now available in a </w:t>
      </w:r>
      <w:hyperlink r:id="rId8">
        <w:r>
          <w:rPr>
            <w:color w:val="1155CC"/>
            <w:u w:val="single"/>
          </w:rPr>
          <w:t>GoogleFolder</w:t>
        </w:r>
      </w:hyperlink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Meeting materials available on the </w:t>
      </w:r>
      <w:hyperlink r:id="rId9">
        <w:r>
          <w:rPr>
            <w:color w:val="1155CC"/>
            <w:u w:val="single"/>
          </w:rPr>
          <w:t>NCIP Hub</w:t>
        </w:r>
      </w:hyperlink>
      <w:r>
        <w:t xml:space="preserve">. 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Website: </w:t>
      </w:r>
      <w:hyperlink r:id="rId10">
        <w:r>
          <w:rPr>
            <w:color w:val="1155CC"/>
            <w:u w:val="single"/>
          </w:rPr>
          <w:t>http://itcr.nci.nih.gov</w:t>
        </w:r>
      </w:hyperlink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Hashtag: #nciitcr</w:t>
      </w:r>
    </w:p>
    <w:p w:rsidR="00382B38" w:rsidRDefault="00382B38">
      <w:pPr>
        <w:pBdr>
          <w:top w:val="nil"/>
          <w:left w:val="nil"/>
          <w:bottom w:val="nil"/>
          <w:right w:val="nil"/>
          <w:between w:val="nil"/>
        </w:pBdr>
      </w:pP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[ADDED BY RAGHU MACHIRAJU]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FF0000"/>
        </w:rPr>
        <w:t xml:space="preserve">NAME OF OTHER PROJECT related to GENOMESPACE - OASIS: </w:t>
      </w:r>
      <w:r>
        <w:rPr>
          <w:color w:val="FF0000"/>
          <w:highlight w:val="white"/>
        </w:rPr>
        <w:t xml:space="preserve">OASIS: web-based 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ITCR Monthly Meeting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February 5, 2016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2:00 - 3:00pm ET</w:t>
      </w:r>
    </w:p>
    <w:p w:rsidR="00382B38" w:rsidRDefault="00382B38">
      <w:pPr>
        <w:pBdr>
          <w:top w:val="nil"/>
          <w:left w:val="nil"/>
          <w:bottom w:val="nil"/>
          <w:right w:val="nil"/>
          <w:between w:val="nil"/>
        </w:pBdr>
      </w:pP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Join the WebEx Meeting</w:t>
        </w:r>
      </w:hyperlink>
    </w:p>
    <w:p w:rsidR="00382B38" w:rsidRDefault="00382B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Dial in number: </w:t>
      </w:r>
      <w:r>
        <w:rPr>
          <w:b/>
          <w:color w:val="333333"/>
          <w:sz w:val="24"/>
          <w:szCs w:val="24"/>
          <w:highlight w:val="white"/>
        </w:rPr>
        <w:t>1-240-276-6338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Cisco Unified Meeting Place ID: </w:t>
      </w:r>
      <w:r>
        <w:rPr>
          <w:b/>
          <w:color w:val="333333"/>
          <w:sz w:val="24"/>
          <w:szCs w:val="24"/>
          <w:highlight w:val="white"/>
        </w:rPr>
        <w:t>738 170 557</w:t>
      </w:r>
    </w:p>
    <w:p w:rsidR="00382B38" w:rsidRDefault="00382B38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Reminder: Due to the large number of people on the call, it is i</w:t>
      </w:r>
      <w:r>
        <w:rPr>
          <w:b/>
          <w:i/>
          <w:sz w:val="24"/>
          <w:szCs w:val="24"/>
          <w:u w:val="single"/>
        </w:rPr>
        <w:t xml:space="preserve">mportant to put your phone on mute when not speaking. Please do not put your phone on Hold as this may broadcast on-hold music to the group. 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sz w:val="24"/>
          <w:szCs w:val="24"/>
        </w:rPr>
        <w:t>To mute your phone within WebEx, hover over your name or phone number in the Participants list and click on the mi</w:t>
      </w:r>
      <w:r>
        <w:rPr>
          <w:i/>
          <w:sz w:val="24"/>
          <w:szCs w:val="24"/>
        </w:rPr>
        <w:t xml:space="preserve">crophone icon on the far right. </w:t>
      </w:r>
    </w:p>
    <w:p w:rsidR="00382B38" w:rsidRDefault="00382B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382B38" w:rsidRDefault="00382B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920"/>
        <w:gridCol w:w="2610"/>
      </w:tblGrid>
      <w:tr w:rsidR="00382B38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82B38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82B38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82B38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82B38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38" w:rsidRDefault="0038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  <w:highlight w:val="white"/>
        </w:rPr>
        <w:t xml:space="preserve">platform for exploring cancer multi-omics data - </w:t>
      </w:r>
      <w:r>
        <w:rPr>
          <w:color w:val="FF0000"/>
        </w:rPr>
        <w:t>http://www.nature.com/nmeth/journal/v13/n1/full/nmeth.3692.html</w:t>
      </w:r>
    </w:p>
    <w:p w:rsidR="00382B38" w:rsidRDefault="00382B3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enter your name and institution below: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Juli Klemm, NCI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Brian Haas, Broad Institute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Jerry Li, NCI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David Miller, NCI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Jingshan Huang, Univ. South Alabama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Guergana Savova, BCH/Harvard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Andrey Fedorov, BWH/Harvard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Shirley Liu, DFCI / Harvard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Bradley Broom</w:t>
      </w:r>
      <w:r>
        <w:t>, MD Anderson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Rao Divi, NCI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Guoqian Jiang, Mayo Clinic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Ben Berman, Cedars-Sinai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Ted Liefeld, UCSD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Michael Reich, UCSD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Mary Goldman, UC Santa Cruz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Bobbie-Jo Webb-Robertson, PNNL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Despina Kontos and Christos Davatzikos (UPenn)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Lee Cooper (Emory)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Martin Morgan</w:t>
      </w:r>
      <w:r>
        <w:t>, RPCI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Jacek Capala NCI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Joel Saltz Stony Brook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Timothy Tickle, Broad Institute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Lauren O’Donnell, BWH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Jayashree Kalpathy-Cramer, MGH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Hugo Aerts, Harvard-DFCI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Metin Gurcan, The Ohio State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Gordon Harris, Mass General Hospital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Alex Krasnitz, Cold Spring Harbor Lab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Mukesh Verma, NCI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Mike Ryan, JHU / MD Anderson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Helga Thorvaldsdottir, Broad Institute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Tom Doak Indiana U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George Redmond, NCI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David Gutman @ Emory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Raghu Machiraju, Ohio State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Jill Me</w:t>
      </w:r>
      <w:r>
        <w:t>sirov, UCSD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Maureen Sartor, Michigan</w:t>
      </w:r>
    </w:p>
    <w:p w:rsidR="00382B38" w:rsidRDefault="001A2940">
      <w:pPr>
        <w:pBdr>
          <w:top w:val="nil"/>
          <w:left w:val="nil"/>
          <w:bottom w:val="nil"/>
          <w:right w:val="nil"/>
          <w:between w:val="nil"/>
        </w:pBdr>
      </w:pPr>
      <w:r>
        <w:t>Josh Stuart, UCSC</w:t>
      </w:r>
    </w:p>
    <w:p w:rsidR="00382B38" w:rsidRDefault="00382B38">
      <w:pPr>
        <w:pBdr>
          <w:top w:val="nil"/>
          <w:left w:val="nil"/>
          <w:bottom w:val="nil"/>
          <w:right w:val="nil"/>
          <w:between w:val="nil"/>
        </w:pBdr>
      </w:pPr>
    </w:p>
    <w:sectPr w:rsidR="00382B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38"/>
    <w:rsid w:val="001A2940"/>
    <w:rsid w:val="003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SoqY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ciphub.org/groups/itcr/containers_and_apis_wg_conference_cal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iphub.org/groups/itcr/itcr_idaa_wg" TargetMode="External"/><Relationship Id="rId11" Type="http://schemas.openxmlformats.org/officeDocument/2006/relationships/hyperlink" Target="https://cbiit.webex.com/cbiit/j.php?MTID=m792e8a3829c3ac67ea17f080bd5247c5" TargetMode="External"/><Relationship Id="rId5" Type="http://schemas.openxmlformats.org/officeDocument/2006/relationships/hyperlink" Target="https://goo.gl/EUKIZ3" TargetMode="External"/><Relationship Id="rId10" Type="http://schemas.openxmlformats.org/officeDocument/2006/relationships/hyperlink" Target="http://itcr.nci.nih.gov" TargetMode="External"/><Relationship Id="rId4" Type="http://schemas.openxmlformats.org/officeDocument/2006/relationships/hyperlink" Target="https://docs.google.com/document/d/1aoW03aAzqVmDGqhIOzx8XJ9_yP6h2FhHtsn0RRdKItM/edit" TargetMode="External"/><Relationship Id="rId9" Type="http://schemas.openxmlformats.org/officeDocument/2006/relationships/hyperlink" Target="https://nciphub.org/groups/itcr/monthly_pi_telecon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2019-01-10T18:21:00Z</dcterms:created>
  <dcterms:modified xsi:type="dcterms:W3CDTF">2019-01-10T18:21:00Z</dcterms:modified>
</cp:coreProperties>
</file>