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A1" w:rsidRDefault="00DC7F45">
      <w:pPr>
        <w:pStyle w:val="Title"/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</w:pPr>
      <w:bookmarkStart w:id="0" w:name="_o69etjjikq5s" w:colFirst="0" w:colLast="0"/>
      <w:bookmarkStart w:id="1" w:name="_GoBack"/>
      <w:bookmarkEnd w:id="0"/>
      <w:bookmarkEnd w:id="1"/>
      <w:r>
        <w:t>ITCR Monthly Meeting</w:t>
      </w:r>
      <w:r>
        <w:rPr>
          <w:sz w:val="24"/>
          <w:szCs w:val="24"/>
        </w:rPr>
        <w:t>=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</w:pPr>
      <w:r>
        <w:t>February 3, 2017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</w:pPr>
      <w:r>
        <w:t>2:00 - 3:00 pm ET</w:t>
      </w:r>
    </w:p>
    <w:p w:rsidR="00B765A1" w:rsidRDefault="00B765A1">
      <w:pPr>
        <w:pBdr>
          <w:top w:val="nil"/>
          <w:left w:val="nil"/>
          <w:bottom w:val="nil"/>
          <w:right w:val="nil"/>
          <w:between w:val="nil"/>
        </w:pBdr>
      </w:pPr>
    </w:p>
    <w:p w:rsidR="00B765A1" w:rsidRDefault="00B765A1">
      <w:pPr>
        <w:pBdr>
          <w:top w:val="nil"/>
          <w:left w:val="nil"/>
          <w:bottom w:val="nil"/>
          <w:right w:val="nil"/>
          <w:between w:val="nil"/>
        </w:pBdr>
      </w:pP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"https://cbiit.webex.com/cbiit/j.php?MTID=m792e8a3829c3ac67ea17f080bd5247c5"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Join the WebEx Meeting</w:t>
      </w:r>
    </w:p>
    <w:p w:rsidR="00B765A1" w:rsidRDefault="00B765A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1155CC"/>
          <w:sz w:val="24"/>
          <w:szCs w:val="24"/>
          <w:u w:val="single"/>
        </w:rPr>
      </w:pPr>
    </w:p>
    <w:tbl>
      <w:tblPr>
        <w:tblStyle w:val="a"/>
        <w:tblW w:w="7875" w:type="dxa"/>
        <w:tblLayout w:type="fixed"/>
        <w:tblLook w:val="0600" w:firstRow="0" w:lastRow="0" w:firstColumn="0" w:lastColumn="0" w:noHBand="1" w:noVBand="1"/>
      </w:tblPr>
      <w:tblGrid>
        <w:gridCol w:w="7875"/>
      </w:tblGrid>
      <w:tr w:rsidR="00B765A1"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rPr>
                <w:color w:val="666666"/>
                <w:sz w:val="24"/>
                <w:szCs w:val="24"/>
              </w:rPr>
            </w:pPr>
            <w:r>
              <w:fldChar w:fldCharType="end"/>
            </w:r>
            <w:r>
              <w:rPr>
                <w:color w:val="666666"/>
                <w:sz w:val="24"/>
                <w:szCs w:val="24"/>
              </w:rPr>
              <w:t>Join by phone</w:t>
            </w:r>
          </w:p>
        </w:tc>
      </w:tr>
      <w:tr w:rsidR="00B765A1"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rPr>
                <w:color w:val="666666"/>
                <w:sz w:val="23"/>
                <w:szCs w:val="23"/>
              </w:rPr>
            </w:pPr>
            <w:r>
              <w:rPr>
                <w:color w:val="666666"/>
                <w:sz w:val="23"/>
                <w:szCs w:val="23"/>
              </w:rPr>
              <w:t>1-855-244-8681 Call-in toll-free number (US/Canada)</w:t>
            </w:r>
          </w:p>
        </w:tc>
      </w:tr>
      <w:tr w:rsidR="00B765A1"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rPr>
                <w:color w:val="666666"/>
                <w:sz w:val="23"/>
                <w:szCs w:val="23"/>
              </w:rPr>
            </w:pPr>
            <w:r>
              <w:rPr>
                <w:color w:val="666666"/>
                <w:sz w:val="23"/>
                <w:szCs w:val="23"/>
              </w:rPr>
              <w:t>1-650-479-3207 Call-in toll number (US/Canada)</w:t>
            </w:r>
          </w:p>
        </w:tc>
      </w:tr>
      <w:tr w:rsidR="00B765A1"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rPr>
                <w:color w:val="666666"/>
                <w:sz w:val="23"/>
                <w:szCs w:val="23"/>
              </w:rPr>
            </w:pPr>
            <w:r>
              <w:rPr>
                <w:color w:val="666666"/>
                <w:sz w:val="23"/>
                <w:szCs w:val="23"/>
              </w:rPr>
              <w:t>Access code: 738 170 557</w:t>
            </w:r>
          </w:p>
        </w:tc>
      </w:tr>
    </w:tbl>
    <w:p w:rsidR="00B765A1" w:rsidRDefault="00B765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765A1" w:rsidRDefault="00B765A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ITCR Twitter Handle: #nciitcr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5">
        <w:r>
          <w:rPr>
            <w:color w:val="1155CC"/>
            <w:sz w:val="24"/>
            <w:szCs w:val="24"/>
            <w:u w:val="single"/>
          </w:rPr>
          <w:t>http://itcr.nci.nih.gov</w:t>
        </w:r>
      </w:hyperlink>
      <w:r>
        <w:rPr>
          <w:sz w:val="24"/>
          <w:szCs w:val="24"/>
        </w:rPr>
        <w:t xml:space="preserve"> 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ITCR Meeting Materials, Schedules, and other Resources: </w:t>
      </w:r>
      <w:hyperlink r:id="rId6">
        <w:r>
          <w:rPr>
            <w:color w:val="1155CC"/>
            <w:sz w:val="24"/>
            <w:szCs w:val="24"/>
            <w:u w:val="single"/>
          </w:rPr>
          <w:t>https://nciphub.org/groups/itcr</w:t>
        </w:r>
      </w:hyperlink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GoogleDocs for past meetings: </w:t>
      </w:r>
      <w:hyperlink r:id="rId7">
        <w:r>
          <w:rPr>
            <w:color w:val="1155CC"/>
            <w:sz w:val="24"/>
            <w:szCs w:val="24"/>
            <w:u w:val="single"/>
          </w:rPr>
          <w:t>https://drive.google.com/drive/folders/0BzGsmNN8MvZqeWViY0xCMmRMTDQ</w:t>
        </w:r>
      </w:hyperlink>
      <w:r>
        <w:fldChar w:fldCharType="begin"/>
      </w:r>
      <w:r>
        <w:instrText xml:space="preserve"> HYPERLINK "https://cbiit.webex.com/cbiit/j.php?MTID=m792e8a3829c3ac67ea17f080bd5247c5" </w:instrText>
      </w:r>
      <w:r>
        <w:fldChar w:fldCharType="separate"/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Reminder: Due to the large number of people on the call, it is importan</w:t>
      </w:r>
      <w:r>
        <w:rPr>
          <w:i/>
          <w:sz w:val="24"/>
          <w:szCs w:val="24"/>
          <w:u w:val="single"/>
        </w:rPr>
        <w:t>t to put your phone on mute when not speaking. Please do not put your phone on Hold as this may broadcast on-hold music to the group.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To mute your phone within WebEx, hover over your name or phone number in the Participants list and click on the microphone icon on the far right.</w:t>
      </w:r>
    </w:p>
    <w:p w:rsidR="00B765A1" w:rsidRDefault="00B765A1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B765A1" w:rsidRDefault="00B765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1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455"/>
        <w:gridCol w:w="5370"/>
        <w:gridCol w:w="2295"/>
      </w:tblGrid>
      <w:tr w:rsidR="00B765A1">
        <w:trPr>
          <w:trHeight w:val="8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2:00 - 2:05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ITCR Annual Meeting Updates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Rosalyn Huffman</w:t>
            </w:r>
          </w:p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Sauder</w:t>
            </w:r>
          </w:p>
        </w:tc>
      </w:tr>
      <w:tr w:rsidR="00B765A1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2:05 - 2:45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MOOCs for Bioinformatics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Philip Compeau</w:t>
              </w:r>
            </w:hyperlink>
          </w:p>
        </w:tc>
      </w:tr>
      <w:tr w:rsidR="00B765A1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2:45 - 2:55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from the Training and Outreach Working </w:t>
            </w:r>
            <w:r>
              <w:rPr>
                <w:sz w:val="24"/>
                <w:szCs w:val="24"/>
              </w:rPr>
              <w:lastRenderedPageBreak/>
              <w:t xml:space="preserve">Group </w:t>
            </w:r>
          </w:p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9" w:anchor="heading=h.hvt61su7vrcf">
              <w:r>
                <w:rPr>
                  <w:color w:val="1155CC"/>
                  <w:sz w:val="24"/>
                  <w:szCs w:val="24"/>
                  <w:u w:val="single"/>
                </w:rPr>
                <w:t>Software Metrics Project</w:t>
              </w:r>
            </w:hyperlink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Andrey Fedorov</w:t>
            </w:r>
          </w:p>
        </w:tc>
      </w:tr>
      <w:tr w:rsidR="00B765A1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2:55 - 3:00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Updates</w:t>
            </w:r>
          </w:p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IMAT-ITCR Collaboratory Supplements</w:t>
              </w:r>
            </w:hyperlink>
          </w:p>
          <w:p w:rsidR="00B765A1" w:rsidRDefault="00DC7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24 1pm ET webinar being planned</w:t>
            </w:r>
          </w:p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hyperlink r:id="rId11" w:anchor="!Synapse:syn7433743/wiki/408135">
              <w:r>
                <w:rPr>
                  <w:color w:val="1155CC"/>
                  <w:sz w:val="24"/>
                  <w:szCs w:val="24"/>
                  <w:u w:val="single"/>
                </w:rPr>
                <w:t>Interdisciplinary Approaches to Cancer Metastasis Workshop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Feb 15 application deadline</w:t>
            </w:r>
          </w:p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CSBC/PS-ON Summer R</w:t>
              </w:r>
              <w:r>
                <w:rPr>
                  <w:color w:val="1155CC"/>
                  <w:sz w:val="24"/>
                  <w:szCs w:val="24"/>
                  <w:u w:val="single"/>
                </w:rPr>
                <w:t>esearch Opportunity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Feb 15 application deadline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 Klemm</w:t>
            </w:r>
          </w:p>
        </w:tc>
      </w:tr>
      <w:tr w:rsidR="00B765A1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A1" w:rsidRDefault="00D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A1" w:rsidRDefault="00B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B765A1" w:rsidRDefault="00B765A1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:rsidR="00B765A1" w:rsidRDefault="00B765A1">
      <w:pPr>
        <w:pBdr>
          <w:top w:val="nil"/>
          <w:left w:val="nil"/>
          <w:bottom w:val="nil"/>
          <w:right w:val="nil"/>
          <w:between w:val="nil"/>
        </w:pBdr>
      </w:pP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When you join the meeting, please enter your name and institution below: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Juli Klemm, NCI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Leah Mechanic, NCI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Terry Meehan, EMBL-EBI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Yi Qiao, University of Utah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Jingshan Huang, South Alabama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Xiaomeng Huang, University of Utah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Xiaodong Wu, University of Iowa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Guoqian Jiang, Mayo Clinic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Tony Dickherber, NCI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Anant Madabhushi, Case Western Reserve University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George Redmond, NCI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Jacek Capala,</w:t>
      </w:r>
      <w:r>
        <w:rPr>
          <w:sz w:val="24"/>
          <w:szCs w:val="24"/>
        </w:rPr>
        <w:t xml:space="preserve"> NCI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Helga Thorvaldsdottir, Broad Institute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Bobbie-Jo Webb-Robertson, Pacific Northwest National Laboratory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Ben Berman, Cedars-Sinai Medical Center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Han Liang The University of Texas MD Anderson Cancer Center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Bradley Broom, The University of Texas MD Anders</w:t>
      </w:r>
      <w:r>
        <w:rPr>
          <w:sz w:val="24"/>
          <w:szCs w:val="24"/>
        </w:rPr>
        <w:t>on Cancer Center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Jerry Li - NCI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Lauren O’Donnell, BWH, Harvard Med School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Martin Morgan, RPCI, 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David Gutman, Emory University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Izumi Hinkson, NCI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Alex Krasnitz, CSHL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Andrey Fedorov, BWH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John Weinstein, MD Anderson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Guergana Savova, BCH/HMS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Jill Mesirov, UCSD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Artem Mamonov, MGH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Hiro Yoshida MGH/HMS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Lee Cooper, Emory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Metin Gurcan, OSU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David Miller, NCI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Michael Reich, UCSD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Tom Doak, Indiana U.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Betsy Hsu, NCI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Mary Goldman, UC Santa Cruz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Lydia Kavraki Rice U.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Dexter Pratt , UCSD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Mike Ryan, JHU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z w:val="24"/>
          <w:szCs w:val="24"/>
        </w:rPr>
        <w:t>nler Antunes, Rice University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Dongjun Chung, MUSC</w:t>
      </w:r>
    </w:p>
    <w:p w:rsidR="00B765A1" w:rsidRDefault="00DC7F4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Christos Davatzikos</w:t>
      </w:r>
    </w:p>
    <w:p w:rsidR="00B765A1" w:rsidRDefault="00DC7F45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Rosalyn Huffman UC Santa Cruz</w:t>
      </w:r>
    </w:p>
    <w:p w:rsidR="00B765A1" w:rsidRDefault="00B765A1">
      <w:pPr>
        <w:spacing w:line="331" w:lineRule="auto"/>
        <w:rPr>
          <w:sz w:val="24"/>
          <w:szCs w:val="24"/>
        </w:rPr>
      </w:pPr>
    </w:p>
    <w:sectPr w:rsidR="00B765A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14A40"/>
    <w:multiLevelType w:val="multilevel"/>
    <w:tmpl w:val="9BAED8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A1"/>
    <w:rsid w:val="00B765A1"/>
    <w:rsid w:val="00D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84A52D-298F-D141-878F-B73D4F16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eau.cbd.cm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0BzGsmNN8MvZqeWViY0xCMmRMTDQ" TargetMode="External"/><Relationship Id="rId12" Type="http://schemas.openxmlformats.org/officeDocument/2006/relationships/hyperlink" Target="https://frederick.cancer.gov/Summer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iphub.org/groups/itcr" TargetMode="External"/><Relationship Id="rId11" Type="http://schemas.openxmlformats.org/officeDocument/2006/relationships/hyperlink" Target="https://www.synapse.org/" TargetMode="External"/><Relationship Id="rId5" Type="http://schemas.openxmlformats.org/officeDocument/2006/relationships/hyperlink" Target="http://itcr.nci.nih.gov" TargetMode="External"/><Relationship Id="rId10" Type="http://schemas.openxmlformats.org/officeDocument/2006/relationships/hyperlink" Target="https://grants.nih.gov/grants/guide/pa-files/PA-17-14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0k_ZgBaEBQesFRnAmYmEWPC9fQNrzSx0xI5oWXTcJcc/edit?ts=5800fe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Heiskanen, Mervi (NIH/NCI) [E]</cp:lastModifiedBy>
  <cp:revision>2</cp:revision>
  <dcterms:created xsi:type="dcterms:W3CDTF">2019-01-10T18:53:00Z</dcterms:created>
  <dcterms:modified xsi:type="dcterms:W3CDTF">2019-01-10T18:53:00Z</dcterms:modified>
</cp:coreProperties>
</file>